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FA4CB" w14:textId="3D571202" w:rsidR="00C45890" w:rsidRPr="00C45890" w:rsidRDefault="00C45890" w:rsidP="00884B59">
      <w:pPr>
        <w:pStyle w:val="Heading1"/>
        <w:ind w:left="1" w:hanging="4"/>
      </w:pPr>
      <w:r w:rsidRPr="00C45890">
        <w:t>America Historical Association Annual Meeting 2023</w:t>
      </w:r>
    </w:p>
    <w:p w14:paraId="505A98D0" w14:textId="6D3DBFC4" w:rsidR="00C45890" w:rsidRPr="00C45890" w:rsidRDefault="00C45890" w:rsidP="00884B59">
      <w:pPr>
        <w:pStyle w:val="Heading1"/>
        <w:ind w:left="1" w:hanging="4"/>
      </w:pPr>
      <w:r w:rsidRPr="00C45890">
        <w:t>Roundtable: Doing Accessible Digital History</w:t>
      </w:r>
    </w:p>
    <w:p w14:paraId="74F2B092" w14:textId="4E92412E" w:rsidR="00C45890" w:rsidRPr="00C45890" w:rsidRDefault="00C45890" w:rsidP="00884B59">
      <w:pPr>
        <w:pStyle w:val="Heading1"/>
        <w:ind w:left="1" w:hanging="4"/>
      </w:pPr>
      <w:r w:rsidRPr="00C45890">
        <w:t>Access Copy of Remarks</w:t>
      </w:r>
    </w:p>
    <w:p w14:paraId="5BDB588D" w14:textId="70954A5C" w:rsidR="00C45890" w:rsidRPr="00B317CB" w:rsidRDefault="00C45890" w:rsidP="00B317CB">
      <w:pPr>
        <w:pStyle w:val="Heading1"/>
        <w:ind w:left="1" w:hanging="4"/>
      </w:pPr>
      <w:r w:rsidRPr="00B317CB">
        <w:t xml:space="preserve">Also available at </w:t>
      </w:r>
      <w:hyperlink r:id="rId7" w:history="1">
        <w:r w:rsidRPr="00B317CB">
          <w:rPr>
            <w:rStyle w:val="Hyperlink"/>
            <w:color w:val="000000" w:themeColor="text1"/>
            <w:u w:val="none"/>
          </w:rPr>
          <w:t>bit.ly/NB-AccessCopy</w:t>
        </w:r>
      </w:hyperlink>
      <w:r w:rsidR="00B317CB">
        <w:t xml:space="preserve">   </w:t>
      </w:r>
      <w:r w:rsidR="00884B59" w:rsidRPr="00B317CB">
        <w:t xml:space="preserve"> </w:t>
      </w:r>
      <w:r w:rsidRPr="00B317CB">
        <w:rPr>
          <w:rStyle w:val="bitlink--hash"/>
        </w:rPr>
        <w:t xml:space="preserve"> </w:t>
      </w:r>
    </w:p>
    <w:p w14:paraId="2E139579" w14:textId="77777777" w:rsidR="00C45890" w:rsidRPr="00C45890" w:rsidRDefault="00C45890" w:rsidP="00096B16">
      <w:pPr>
        <w:ind w:left="0" w:hanging="3"/>
        <w:rPr>
          <w:rFonts w:cs="Arial"/>
          <w:szCs w:val="28"/>
        </w:rPr>
      </w:pPr>
    </w:p>
    <w:p w14:paraId="2DFBF363" w14:textId="77777777" w:rsidR="00210941" w:rsidRPr="00884B59" w:rsidRDefault="00C45890" w:rsidP="00884B59">
      <w:pPr>
        <w:pStyle w:val="Heading2"/>
        <w:ind w:left="0" w:hanging="3"/>
      </w:pPr>
      <w:r w:rsidRPr="00884B59">
        <w:t xml:space="preserve">Abstract </w:t>
      </w:r>
    </w:p>
    <w:p w14:paraId="7836C7FB" w14:textId="77777777" w:rsidR="00210941" w:rsidRDefault="00210941" w:rsidP="00096B16">
      <w:pPr>
        <w:ind w:left="0" w:hanging="3"/>
        <w:rPr>
          <w:rFonts w:cs="Arial"/>
          <w:szCs w:val="28"/>
        </w:rPr>
      </w:pPr>
    </w:p>
    <w:p w14:paraId="4FAABB19" w14:textId="272E8916" w:rsidR="00096B16" w:rsidRDefault="00096B16" w:rsidP="00884B59">
      <w:pPr>
        <w:ind w:left="0" w:hanging="3"/>
      </w:pPr>
      <w:r w:rsidRPr="00C45890">
        <w:t xml:space="preserve">Belolan will advocate for and discuss how to historicize disabled people in American history when doing any accessibility and inclusion work in history settings. Technical tools for accessibility and inclusion should be informed by the long history of inclusion and exclusion of disabled people in addition to the modern legal and moral reasons for considering disabled people in public- and academic-facing work we do as historians. </w:t>
      </w:r>
    </w:p>
    <w:p w14:paraId="3F4DDEEB" w14:textId="296DB39E" w:rsidR="00B317CB" w:rsidRDefault="00B317CB" w:rsidP="00B317CB">
      <w:pPr>
        <w:ind w:leftChars="0" w:left="0" w:firstLineChars="0" w:firstLine="0"/>
      </w:pPr>
    </w:p>
    <w:p w14:paraId="70906A7E" w14:textId="614AE141" w:rsidR="00B317CB" w:rsidRDefault="00B317CB" w:rsidP="00B317CB">
      <w:pPr>
        <w:pStyle w:val="Heading2"/>
        <w:ind w:left="0" w:hanging="3"/>
      </w:pPr>
      <w:r>
        <w:t>Presenter</w:t>
      </w:r>
    </w:p>
    <w:p w14:paraId="10B0670A" w14:textId="5A6D97BD" w:rsidR="00B317CB" w:rsidRDefault="00B317CB" w:rsidP="00B317CB">
      <w:pPr>
        <w:ind w:leftChars="0" w:left="0" w:firstLineChars="0" w:firstLine="0"/>
      </w:pPr>
    </w:p>
    <w:p w14:paraId="396314D6" w14:textId="2A2CCB34" w:rsidR="00B317CB" w:rsidRDefault="00B317CB" w:rsidP="00B317CB">
      <w:pPr>
        <w:ind w:leftChars="0" w:left="0" w:firstLineChars="0" w:firstLine="0"/>
      </w:pPr>
      <w:r>
        <w:t>Nicole Belolan, PhD</w:t>
      </w:r>
    </w:p>
    <w:p w14:paraId="137C4995" w14:textId="67DEDE6C" w:rsidR="00B317CB" w:rsidRPr="00C45890" w:rsidRDefault="00000000" w:rsidP="00B317CB">
      <w:pPr>
        <w:ind w:leftChars="0" w:left="0" w:firstLineChars="0" w:firstLine="0"/>
        <w:rPr>
          <w:u w:val="single"/>
        </w:rPr>
      </w:pPr>
      <w:hyperlink r:id="rId8" w:history="1">
        <w:r w:rsidR="00B317CB" w:rsidRPr="00317C60">
          <w:rPr>
            <w:rStyle w:val="Hyperlink"/>
          </w:rPr>
          <w:t>nbelolan@gmail.com</w:t>
        </w:r>
      </w:hyperlink>
      <w:r w:rsidR="00B317CB">
        <w:t xml:space="preserve"> </w:t>
      </w:r>
    </w:p>
    <w:p w14:paraId="28081C22" w14:textId="63D892B5" w:rsidR="00443274" w:rsidRPr="00C45890" w:rsidRDefault="00000000">
      <w:pPr>
        <w:ind w:left="0" w:hanging="3"/>
        <w:rPr>
          <w:rFonts w:cs="Arial"/>
          <w:szCs w:val="28"/>
        </w:rPr>
      </w:pPr>
    </w:p>
    <w:p w14:paraId="068127CA" w14:textId="68A2EE27" w:rsidR="00096B16" w:rsidRPr="00884B59" w:rsidRDefault="00210941" w:rsidP="00884B59">
      <w:pPr>
        <w:pStyle w:val="Heading2"/>
        <w:ind w:left="0" w:hanging="3"/>
      </w:pPr>
      <w:r>
        <w:t>Remarks</w:t>
      </w:r>
    </w:p>
    <w:p w14:paraId="054D4350" w14:textId="77777777" w:rsidR="00210941" w:rsidRPr="00C45890" w:rsidRDefault="00210941">
      <w:pPr>
        <w:ind w:left="0" w:hanging="3"/>
        <w:rPr>
          <w:rFonts w:cs="Arial"/>
          <w:szCs w:val="28"/>
        </w:rPr>
      </w:pPr>
    </w:p>
    <w:p w14:paraId="3D7CCDC4" w14:textId="1FB94B9C" w:rsidR="00210941" w:rsidRDefault="00C45890" w:rsidP="00884B59">
      <w:pPr>
        <w:ind w:left="0" w:hanging="3"/>
      </w:pPr>
      <w:r w:rsidRPr="00C45890">
        <w:t>Thank you for inviting me to be a part of this conversation and for all of you for being here today.</w:t>
      </w:r>
      <w:r>
        <w:t xml:space="preserve"> Over the past few years, I have </w:t>
      </w:r>
      <w:r w:rsidR="00275CAE">
        <w:t>led</w:t>
      </w:r>
      <w:r>
        <w:t xml:space="preserve"> or have been a part of workshops that focus on basic skill-building related to making cultural heritage settings more accessible for disabled people.</w:t>
      </w:r>
      <w:r w:rsidR="00210941">
        <w:t xml:space="preserve"> </w:t>
      </w:r>
      <w:r w:rsidR="00275CAE">
        <w:t xml:space="preserve">I am going to talk a bit about how I use the history of disability—specifically, the visibility of disabled people in early America—to encourage people to make cultural heritage settings accessible for disabled people today. </w:t>
      </w:r>
      <w:r w:rsidR="00210941">
        <w:t>I usually talk to professional groups in the history field, broadly defined, such as those who work in historic preservation or small museums.</w:t>
      </w:r>
      <w:r>
        <w:t xml:space="preserve"> </w:t>
      </w:r>
    </w:p>
    <w:p w14:paraId="1A5F4B1D" w14:textId="77777777" w:rsidR="00210941" w:rsidRDefault="00210941" w:rsidP="00884B59">
      <w:pPr>
        <w:ind w:left="0" w:hanging="3"/>
        <w:rPr>
          <w:rFonts w:cs="Arial"/>
          <w:szCs w:val="28"/>
        </w:rPr>
      </w:pPr>
    </w:p>
    <w:p w14:paraId="2B5E6AFD" w14:textId="77EEAC92" w:rsidR="00C45890" w:rsidRDefault="00C45890" w:rsidP="00884B59">
      <w:pPr>
        <w:ind w:left="0" w:hanging="3"/>
        <w:rPr>
          <w:rFonts w:cs="Arial"/>
          <w:szCs w:val="28"/>
        </w:rPr>
      </w:pPr>
      <w:r>
        <w:rPr>
          <w:rFonts w:cs="Arial"/>
          <w:szCs w:val="28"/>
        </w:rPr>
        <w:t>I usually focus on the basics. Some example</w:t>
      </w:r>
      <w:r w:rsidR="00210941">
        <w:rPr>
          <w:rFonts w:cs="Arial"/>
          <w:szCs w:val="28"/>
        </w:rPr>
        <w:t>s</w:t>
      </w:r>
      <w:r>
        <w:rPr>
          <w:rFonts w:cs="Arial"/>
          <w:szCs w:val="28"/>
        </w:rPr>
        <w:t xml:space="preserve">: </w:t>
      </w:r>
    </w:p>
    <w:p w14:paraId="59521210" w14:textId="77777777" w:rsidR="00C45890" w:rsidRDefault="00C45890" w:rsidP="00884B59">
      <w:pPr>
        <w:ind w:left="0" w:hanging="3"/>
        <w:rPr>
          <w:rFonts w:cs="Arial"/>
          <w:szCs w:val="28"/>
        </w:rPr>
      </w:pPr>
    </w:p>
    <w:p w14:paraId="5ED2563D" w14:textId="5720E7CE" w:rsidR="00C45890" w:rsidRDefault="00C45890" w:rsidP="00884B59">
      <w:pPr>
        <w:ind w:left="0" w:hanging="3"/>
        <w:rPr>
          <w:rFonts w:cs="Arial"/>
          <w:szCs w:val="28"/>
        </w:rPr>
      </w:pPr>
      <w:r>
        <w:rPr>
          <w:rFonts w:cs="Arial"/>
          <w:szCs w:val="28"/>
        </w:rPr>
        <w:t>requiring people use microphones when presenting in settings like this one for people who might be deaf or hard of hearing</w:t>
      </w:r>
    </w:p>
    <w:p w14:paraId="3F9BA4EB" w14:textId="51129746" w:rsidR="00C45890" w:rsidRDefault="00C45890" w:rsidP="00884B59">
      <w:pPr>
        <w:ind w:left="0" w:hanging="3"/>
        <w:rPr>
          <w:rFonts w:cs="Arial"/>
          <w:szCs w:val="28"/>
        </w:rPr>
      </w:pPr>
    </w:p>
    <w:p w14:paraId="51423258" w14:textId="34C9878D" w:rsidR="00C45890" w:rsidRDefault="00C45890" w:rsidP="00884B59">
      <w:pPr>
        <w:ind w:left="0" w:hanging="3"/>
        <w:rPr>
          <w:rFonts w:cs="Arial"/>
          <w:szCs w:val="28"/>
        </w:rPr>
      </w:pPr>
      <w:r>
        <w:rPr>
          <w:rFonts w:cs="Arial"/>
          <w:szCs w:val="28"/>
        </w:rPr>
        <w:t>providing copies</w:t>
      </w:r>
      <w:r w:rsidR="00B317CB">
        <w:rPr>
          <w:rFonts w:cs="Arial"/>
          <w:szCs w:val="28"/>
        </w:rPr>
        <w:t xml:space="preserve"> (often called access copies)</w:t>
      </w:r>
      <w:r>
        <w:rPr>
          <w:rFonts w:cs="Arial"/>
          <w:szCs w:val="28"/>
        </w:rPr>
        <w:t xml:space="preserve"> of</w:t>
      </w:r>
      <w:r w:rsidR="00210941">
        <w:rPr>
          <w:rFonts w:cs="Arial"/>
          <w:szCs w:val="28"/>
        </w:rPr>
        <w:t xml:space="preserve"> and/or links to</w:t>
      </w:r>
      <w:r>
        <w:rPr>
          <w:rFonts w:cs="Arial"/>
          <w:szCs w:val="28"/>
        </w:rPr>
        <w:t xml:space="preserve"> remarks </w:t>
      </w:r>
      <w:r w:rsidR="00210941">
        <w:rPr>
          <w:rFonts w:cs="Arial"/>
          <w:szCs w:val="28"/>
        </w:rPr>
        <w:t>for people who might process presentations more effectively by following along or reviewing notes later</w:t>
      </w:r>
    </w:p>
    <w:p w14:paraId="0C37EAD5" w14:textId="5838AA25" w:rsidR="00210941" w:rsidRDefault="00210941" w:rsidP="00884B59">
      <w:pPr>
        <w:ind w:left="0" w:hanging="3"/>
        <w:rPr>
          <w:rFonts w:cs="Arial"/>
          <w:szCs w:val="28"/>
        </w:rPr>
      </w:pPr>
    </w:p>
    <w:p w14:paraId="10E43332" w14:textId="7D70AC5C" w:rsidR="00210941" w:rsidRDefault="00210941" w:rsidP="00884B59">
      <w:pPr>
        <w:ind w:left="0" w:hanging="3"/>
        <w:rPr>
          <w:rFonts w:cs="Arial"/>
          <w:szCs w:val="28"/>
        </w:rPr>
      </w:pPr>
      <w:r>
        <w:rPr>
          <w:rFonts w:cs="Arial"/>
          <w:szCs w:val="28"/>
        </w:rPr>
        <w:t>encouraging presenters to describe images or slides th</w:t>
      </w:r>
      <w:r w:rsidR="00275CAE">
        <w:rPr>
          <w:rFonts w:cs="Arial"/>
          <w:szCs w:val="28"/>
        </w:rPr>
        <w:t>ey</w:t>
      </w:r>
      <w:r>
        <w:rPr>
          <w:rFonts w:cs="Arial"/>
          <w:szCs w:val="28"/>
        </w:rPr>
        <w:t xml:space="preserve"> might be using in full for anyone who might be blind or have low vision</w:t>
      </w:r>
    </w:p>
    <w:p w14:paraId="66913BBB" w14:textId="6CAD6DF1" w:rsidR="00752747" w:rsidRDefault="00752747" w:rsidP="00884B59">
      <w:pPr>
        <w:ind w:left="0" w:hanging="3"/>
        <w:rPr>
          <w:rFonts w:cs="Arial"/>
          <w:szCs w:val="28"/>
        </w:rPr>
      </w:pPr>
    </w:p>
    <w:p w14:paraId="545F9DCD" w14:textId="7C9D6B48" w:rsidR="00752747" w:rsidRDefault="00752747" w:rsidP="00884B59">
      <w:pPr>
        <w:ind w:left="0" w:hanging="3"/>
        <w:rPr>
          <w:rFonts w:cs="Arial"/>
          <w:szCs w:val="28"/>
        </w:rPr>
      </w:pPr>
      <w:r>
        <w:rPr>
          <w:rFonts w:cs="Arial"/>
          <w:szCs w:val="28"/>
        </w:rPr>
        <w:t>insisting that conferences or other gatherings provide accessibility information such the number of steps up to a building, whether masking is required, etc.</w:t>
      </w:r>
    </w:p>
    <w:p w14:paraId="3E299102" w14:textId="5BACCA46" w:rsidR="00570587" w:rsidRDefault="00570587" w:rsidP="00884B59">
      <w:pPr>
        <w:ind w:left="0" w:hanging="3"/>
        <w:rPr>
          <w:rFonts w:cs="Arial"/>
          <w:szCs w:val="28"/>
        </w:rPr>
      </w:pPr>
    </w:p>
    <w:p w14:paraId="0ED8C363" w14:textId="2C1E589C" w:rsidR="00570587" w:rsidRDefault="00570587" w:rsidP="00884B59">
      <w:pPr>
        <w:ind w:left="0" w:hanging="3"/>
        <w:rPr>
          <w:rFonts w:cs="Arial"/>
          <w:szCs w:val="28"/>
        </w:rPr>
      </w:pPr>
      <w:r>
        <w:rPr>
          <w:rFonts w:cs="Arial"/>
          <w:szCs w:val="28"/>
        </w:rPr>
        <w:t>putting the burden on yourself and not disabled people to provide or start a conversation about access</w:t>
      </w:r>
    </w:p>
    <w:p w14:paraId="18D3505E" w14:textId="7DBEDD11" w:rsidR="00210941" w:rsidRDefault="00210941" w:rsidP="00884B59">
      <w:pPr>
        <w:ind w:left="0" w:hanging="3"/>
        <w:rPr>
          <w:rFonts w:cs="Arial"/>
          <w:szCs w:val="28"/>
        </w:rPr>
      </w:pPr>
    </w:p>
    <w:p w14:paraId="1E33DADA" w14:textId="1EDE87B5" w:rsidR="00210941" w:rsidRDefault="00210941" w:rsidP="00884B59">
      <w:pPr>
        <w:ind w:left="0" w:hanging="3"/>
        <w:rPr>
          <w:rFonts w:cs="Arial"/>
          <w:szCs w:val="28"/>
        </w:rPr>
      </w:pPr>
      <w:r>
        <w:rPr>
          <w:rFonts w:cs="Arial"/>
          <w:szCs w:val="28"/>
        </w:rPr>
        <w:t>Of course, what you probably notice is that these simple accessibility measure</w:t>
      </w:r>
      <w:r w:rsidR="00275CAE">
        <w:rPr>
          <w:rFonts w:cs="Arial"/>
          <w:szCs w:val="28"/>
        </w:rPr>
        <w:t>s</w:t>
      </w:r>
      <w:r>
        <w:rPr>
          <w:rFonts w:cs="Arial"/>
          <w:szCs w:val="28"/>
        </w:rPr>
        <w:t xml:space="preserve"> benefit everyone, not just disabled people.</w:t>
      </w:r>
    </w:p>
    <w:p w14:paraId="7ED52C11" w14:textId="53087F03" w:rsidR="00210941" w:rsidRDefault="00210941" w:rsidP="00884B59">
      <w:pPr>
        <w:ind w:left="0" w:hanging="3"/>
        <w:rPr>
          <w:rFonts w:cs="Arial"/>
          <w:szCs w:val="28"/>
        </w:rPr>
      </w:pPr>
    </w:p>
    <w:p w14:paraId="07FD733B" w14:textId="25F06A94" w:rsidR="00210941" w:rsidRDefault="00210941" w:rsidP="00884B59">
      <w:pPr>
        <w:ind w:left="0" w:hanging="3"/>
        <w:rPr>
          <w:rFonts w:cs="Arial"/>
          <w:szCs w:val="28"/>
        </w:rPr>
      </w:pPr>
      <w:r>
        <w:rPr>
          <w:rFonts w:cs="Arial"/>
          <w:szCs w:val="28"/>
        </w:rPr>
        <w:t xml:space="preserve">But, I don’t identify as disabled. So, how did I get into this business? </w:t>
      </w:r>
    </w:p>
    <w:p w14:paraId="607DEAB0" w14:textId="77777777" w:rsidR="00210941" w:rsidRDefault="00210941" w:rsidP="00884B59">
      <w:pPr>
        <w:ind w:left="0" w:hanging="3"/>
        <w:rPr>
          <w:rFonts w:cs="Arial"/>
          <w:szCs w:val="28"/>
        </w:rPr>
      </w:pPr>
    </w:p>
    <w:p w14:paraId="45CAE833" w14:textId="089DB491" w:rsidR="00210941" w:rsidRDefault="00210941" w:rsidP="00884B59">
      <w:pPr>
        <w:ind w:left="0" w:hanging="3"/>
        <w:rPr>
          <w:rFonts w:cs="Arial"/>
          <w:szCs w:val="28"/>
        </w:rPr>
      </w:pPr>
      <w:r>
        <w:rPr>
          <w:rFonts w:cs="Arial"/>
          <w:szCs w:val="28"/>
        </w:rPr>
        <w:t>My research in disability history</w:t>
      </w:r>
    </w:p>
    <w:p w14:paraId="113EE11F" w14:textId="77777777" w:rsidR="00210941" w:rsidRDefault="00210941" w:rsidP="00884B59">
      <w:pPr>
        <w:ind w:left="0" w:hanging="3"/>
        <w:rPr>
          <w:rFonts w:cs="Arial"/>
          <w:szCs w:val="28"/>
        </w:rPr>
      </w:pPr>
    </w:p>
    <w:p w14:paraId="35BF4DA2" w14:textId="6D97BBC1" w:rsidR="00210941" w:rsidRDefault="00210941" w:rsidP="00884B59">
      <w:pPr>
        <w:ind w:left="0" w:hanging="3"/>
        <w:rPr>
          <w:rFonts w:cs="Arial"/>
          <w:szCs w:val="28"/>
        </w:rPr>
      </w:pPr>
      <w:r>
        <w:rPr>
          <w:rFonts w:cs="Arial"/>
          <w:szCs w:val="28"/>
        </w:rPr>
        <w:t>My work with small museums</w:t>
      </w:r>
    </w:p>
    <w:p w14:paraId="710AD791" w14:textId="47FCCAA4" w:rsidR="00210941" w:rsidRDefault="00210941" w:rsidP="00884B59">
      <w:pPr>
        <w:ind w:left="0" w:hanging="3"/>
        <w:rPr>
          <w:rFonts w:cs="Arial"/>
          <w:szCs w:val="28"/>
        </w:rPr>
      </w:pPr>
    </w:p>
    <w:p w14:paraId="47F6BDE2" w14:textId="515F9FDE" w:rsidR="00210941" w:rsidRDefault="00210941" w:rsidP="00884B59">
      <w:pPr>
        <w:ind w:left="0" w:hanging="3"/>
        <w:rPr>
          <w:rFonts w:cs="Arial"/>
          <w:szCs w:val="28"/>
        </w:rPr>
      </w:pPr>
      <w:r>
        <w:rPr>
          <w:rFonts w:cs="Arial"/>
          <w:szCs w:val="28"/>
        </w:rPr>
        <w:t>First, my research. I would be happy to talk about the journey to the topic, but for the sake of brevity right now, I’ll just tell you that my research focuses on the material and visual culture of disability in early America. I study things like wheelchairs and crutches (like this one) to get at the lived experience of disability before the mid-nineteenth century. When I was a grad student, I started presenting my research at conferences where I learned about disability justice and ways to use history to promote change today (in this case, to promote access and inclusion for disabled people).</w:t>
      </w:r>
    </w:p>
    <w:p w14:paraId="1DCE62D3" w14:textId="11B1F7AC" w:rsidR="00210941" w:rsidRDefault="00210941" w:rsidP="00884B59">
      <w:pPr>
        <w:ind w:left="0" w:hanging="3"/>
        <w:rPr>
          <w:rFonts w:cs="Arial"/>
          <w:szCs w:val="28"/>
        </w:rPr>
      </w:pPr>
    </w:p>
    <w:p w14:paraId="53CF1095" w14:textId="5A08F528" w:rsidR="00206A73" w:rsidRDefault="00210941" w:rsidP="00884B59">
      <w:pPr>
        <w:ind w:left="0" w:hanging="3"/>
        <w:rPr>
          <w:rStyle w:val="eop"/>
          <w:rFonts w:cs="Arial"/>
          <w:szCs w:val="28"/>
        </w:rPr>
      </w:pPr>
      <w:r>
        <w:rPr>
          <w:rFonts w:cs="Arial"/>
          <w:szCs w:val="28"/>
        </w:rPr>
        <w:t>Second, my work with small museums.</w:t>
      </w:r>
      <w:r w:rsidR="000F1841">
        <w:rPr>
          <w:rFonts w:cs="Arial"/>
          <w:szCs w:val="28"/>
        </w:rPr>
        <w:t xml:space="preserve"> As I was building my research and publication repertoire, I was working as a graduate assistant for the Museum Studies program at the University of Delaware.</w:t>
      </w:r>
      <w:r w:rsidR="00206A73">
        <w:rPr>
          <w:rFonts w:cs="Arial"/>
          <w:szCs w:val="28"/>
        </w:rPr>
        <w:t xml:space="preserve"> In that capacity, I was teaching and coordinating workshops that taught the basics about a variety of small museum topics from collections storage to podcasting. </w:t>
      </w:r>
      <w:r w:rsidR="00206A73">
        <w:rPr>
          <w:rStyle w:val="normaltextrun"/>
          <w:rFonts w:cs="Arial"/>
          <w:szCs w:val="28"/>
        </w:rPr>
        <w:t xml:space="preserve">So, in a small museum context with limited resources, this might mean taking collections artifacts out of basements and putting them on the ground floor </w:t>
      </w:r>
      <w:r w:rsidR="00206A73" w:rsidRPr="00195FBE">
        <w:rPr>
          <w:rStyle w:val="normaltextrun"/>
          <w:rFonts w:cs="Arial"/>
          <w:szCs w:val="28"/>
        </w:rPr>
        <w:lastRenderedPageBreak/>
        <w:t>on a shelf. I got pretty good at facilitating this sort of professional development (and still do that as part of my job).</w:t>
      </w:r>
      <w:r w:rsidR="00206A73" w:rsidRPr="00195FBE">
        <w:rPr>
          <w:rStyle w:val="eop"/>
          <w:rFonts w:cs="Arial"/>
          <w:szCs w:val="28"/>
        </w:rPr>
        <w:t> </w:t>
      </w:r>
    </w:p>
    <w:p w14:paraId="5D329EF8" w14:textId="77777777" w:rsidR="00275CAE" w:rsidRPr="00195FBE" w:rsidRDefault="00275CAE" w:rsidP="00884B59">
      <w:pPr>
        <w:ind w:left="0" w:hanging="3"/>
        <w:rPr>
          <w:rStyle w:val="eop"/>
          <w:rFonts w:cs="Arial"/>
          <w:szCs w:val="28"/>
        </w:rPr>
      </w:pPr>
    </w:p>
    <w:p w14:paraId="2B6876BF" w14:textId="7556E31D" w:rsidR="00195FBE" w:rsidRDefault="00195FBE" w:rsidP="00884B59">
      <w:pPr>
        <w:ind w:left="0" w:hanging="3"/>
        <w:rPr>
          <w:rFonts w:cs="Arial"/>
          <w:szCs w:val="28"/>
        </w:rPr>
      </w:pPr>
      <w:r w:rsidRPr="00195FBE">
        <w:rPr>
          <w:rFonts w:cs="Arial"/>
          <w:szCs w:val="28"/>
        </w:rPr>
        <w:t>I realized that the small museum community I was serving with these collections management workshops, for example, could really benefit from these new access-related skills I was learning</w:t>
      </w:r>
      <w:r>
        <w:rPr>
          <w:rFonts w:cs="Arial"/>
          <w:szCs w:val="28"/>
        </w:rPr>
        <w:t xml:space="preserve"> at disability history conferences</w:t>
      </w:r>
      <w:r w:rsidRPr="00195FBE">
        <w:rPr>
          <w:rFonts w:cs="Arial"/>
          <w:szCs w:val="28"/>
        </w:rPr>
        <w:t>.</w:t>
      </w:r>
      <w:r>
        <w:rPr>
          <w:rFonts w:cs="Arial"/>
          <w:szCs w:val="28"/>
        </w:rPr>
        <w:t xml:space="preserve"> So</w:t>
      </w:r>
      <w:r w:rsidRPr="00195FBE">
        <w:rPr>
          <w:rFonts w:cs="Arial"/>
          <w:szCs w:val="28"/>
        </w:rPr>
        <w:t xml:space="preserve"> I started talking to</w:t>
      </w:r>
      <w:r w:rsidR="00275CAE">
        <w:rPr>
          <w:rFonts w:cs="Arial"/>
          <w:szCs w:val="28"/>
        </w:rPr>
        <w:t xml:space="preserve"> these</w:t>
      </w:r>
      <w:r w:rsidRPr="00195FBE">
        <w:rPr>
          <w:rFonts w:cs="Arial"/>
          <w:szCs w:val="28"/>
        </w:rPr>
        <w:t xml:space="preserve"> groups about access and inclusion. I felt a little out of my depth, but it turns out this was new info for a lot of folks. And that’s when one workshop or talk started leading to another, and I started framing these workshops and talks in such a way that I thought would help these groups wrap their minds around the work: preservation and access for small museums and historic sites. Usually means providing access to collections for research. A historic house for a tour. But I wanted to make sure people thought about access in terms of disability by promoting the adoption of simple access tactics I mentioned a few minutes ago. </w:t>
      </w:r>
      <w:r w:rsidR="00275CAE">
        <w:rPr>
          <w:rFonts w:cs="Arial"/>
          <w:szCs w:val="28"/>
        </w:rPr>
        <w:t>In short, this was a logical way to integrate accessibility for disabled people into an existing museum framework (preservation and access).</w:t>
      </w:r>
    </w:p>
    <w:p w14:paraId="57BB95C7" w14:textId="77777777" w:rsidR="00275CAE" w:rsidRDefault="00275CAE" w:rsidP="00884B59">
      <w:pPr>
        <w:ind w:left="0" w:hanging="3"/>
        <w:rPr>
          <w:rFonts w:cs="Arial"/>
          <w:szCs w:val="28"/>
        </w:rPr>
      </w:pPr>
    </w:p>
    <w:p w14:paraId="1AF6ECFE" w14:textId="5AC5AAC9" w:rsidR="00195FBE" w:rsidRDefault="00195FBE" w:rsidP="00884B59">
      <w:pPr>
        <w:ind w:left="0" w:hanging="3"/>
        <w:rPr>
          <w:rStyle w:val="eop"/>
          <w:rFonts w:cs="Arial"/>
          <w:szCs w:val="28"/>
        </w:rPr>
      </w:pPr>
      <w:r>
        <w:rPr>
          <w:rStyle w:val="normaltextrun"/>
          <w:rFonts w:cs="Arial"/>
          <w:szCs w:val="28"/>
        </w:rPr>
        <w:t xml:space="preserve">If everyone embraced access and inclusion, we wouldn’t be here today. I realized explaining the historical roots of WHY this access and inclusion was necessary and why the advocacy itself was necessary would be helpful. </w:t>
      </w:r>
      <w:r w:rsidR="00DB5B28">
        <w:rPr>
          <w:rStyle w:val="contextualspellingandgrammarerror"/>
          <w:rFonts w:cs="Arial"/>
          <w:szCs w:val="28"/>
        </w:rPr>
        <w:t>I talk about the Americans with Disabilities Act (1990), but</w:t>
      </w:r>
      <w:r>
        <w:rPr>
          <w:rStyle w:val="normaltextrun"/>
          <w:rFonts w:cs="Arial"/>
          <w:szCs w:val="28"/>
        </w:rPr>
        <w:t xml:space="preserve"> I</w:t>
      </w:r>
      <w:r w:rsidR="00DB5B28">
        <w:rPr>
          <w:rStyle w:val="normaltextrun"/>
          <w:rFonts w:cs="Arial"/>
          <w:szCs w:val="28"/>
        </w:rPr>
        <w:t xml:space="preserve"> also</w:t>
      </w:r>
      <w:r>
        <w:rPr>
          <w:rStyle w:val="normaltextrun"/>
          <w:rFonts w:cs="Arial"/>
          <w:szCs w:val="28"/>
        </w:rPr>
        <w:t xml:space="preserve"> tal</w:t>
      </w:r>
      <w:r w:rsidR="00DB5B28">
        <w:rPr>
          <w:rStyle w:val="normaltextrun"/>
          <w:rFonts w:cs="Arial"/>
          <w:szCs w:val="28"/>
        </w:rPr>
        <w:t>k</w:t>
      </w:r>
      <w:r>
        <w:rPr>
          <w:rStyle w:val="normaltextrun"/>
          <w:rFonts w:cs="Arial"/>
          <w:szCs w:val="28"/>
        </w:rPr>
        <w:t xml:space="preserve"> about disability in early America—when disabled people were largely visible and well-integrated into everyday life-- but also in the 19</w:t>
      </w:r>
      <w:r>
        <w:rPr>
          <w:rStyle w:val="normaltextrun"/>
          <w:rFonts w:cs="Arial"/>
          <w:sz w:val="22"/>
          <w:szCs w:val="22"/>
          <w:vertAlign w:val="superscript"/>
        </w:rPr>
        <w:t>th</w:t>
      </w:r>
      <w:r>
        <w:rPr>
          <w:rStyle w:val="normaltextrun"/>
          <w:rFonts w:cs="Arial"/>
          <w:szCs w:val="28"/>
        </w:rPr>
        <w:t xml:space="preserve"> and 20</w:t>
      </w:r>
      <w:r>
        <w:rPr>
          <w:rStyle w:val="normaltextrun"/>
          <w:rFonts w:cs="Arial"/>
          <w:sz w:val="22"/>
          <w:szCs w:val="22"/>
          <w:vertAlign w:val="superscript"/>
        </w:rPr>
        <w:t>th</w:t>
      </w:r>
      <w:r>
        <w:rPr>
          <w:rStyle w:val="normaltextrun"/>
          <w:rFonts w:cs="Arial"/>
          <w:szCs w:val="28"/>
        </w:rPr>
        <w:t xml:space="preserve"> centuries when people were more likely to marginalize disabled people. In the 19</w:t>
      </w:r>
      <w:r>
        <w:rPr>
          <w:rStyle w:val="normaltextrun"/>
          <w:rFonts w:cs="Arial"/>
          <w:sz w:val="22"/>
          <w:szCs w:val="22"/>
          <w:vertAlign w:val="superscript"/>
        </w:rPr>
        <w:t>th</w:t>
      </w:r>
      <w:r>
        <w:rPr>
          <w:rStyle w:val="normaltextrun"/>
          <w:rFonts w:cs="Arial"/>
          <w:szCs w:val="28"/>
        </w:rPr>
        <w:t xml:space="preserve"> and 20</w:t>
      </w:r>
      <w:r>
        <w:rPr>
          <w:rStyle w:val="normaltextrun"/>
          <w:rFonts w:cs="Arial"/>
          <w:sz w:val="22"/>
          <w:szCs w:val="22"/>
          <w:vertAlign w:val="superscript"/>
        </w:rPr>
        <w:t>th</w:t>
      </w:r>
      <w:r>
        <w:rPr>
          <w:rStyle w:val="normaltextrun"/>
          <w:rFonts w:cs="Arial"/>
          <w:szCs w:val="28"/>
        </w:rPr>
        <w:t xml:space="preserve"> centuries, people restricted immigration to the US based on disability; they put people in institutions because of disability; they separated children in school settings due to disability. And more. This </w:t>
      </w:r>
      <w:r w:rsidR="00DB5B28">
        <w:rPr>
          <w:rStyle w:val="normaltextrun"/>
          <w:rFonts w:cs="Arial"/>
          <w:szCs w:val="28"/>
        </w:rPr>
        <w:t xml:space="preserve">more </w:t>
      </w:r>
      <w:r>
        <w:rPr>
          <w:rStyle w:val="normaltextrun"/>
          <w:rFonts w:cs="Arial"/>
          <w:szCs w:val="28"/>
        </w:rPr>
        <w:t>recent history</w:t>
      </w:r>
      <w:r w:rsidR="00DB5B28">
        <w:rPr>
          <w:rStyle w:val="normaltextrun"/>
          <w:rFonts w:cs="Arial"/>
          <w:szCs w:val="28"/>
        </w:rPr>
        <w:t xml:space="preserve"> of marginalization</w:t>
      </w:r>
      <w:r>
        <w:rPr>
          <w:rStyle w:val="normaltextrun"/>
          <w:rFonts w:cs="Arial"/>
          <w:szCs w:val="28"/>
        </w:rPr>
        <w:t xml:space="preserve"> has affected the way we think about disability so much today that there is an entire project by an activist named Alice Wong called the Disability Visibility project</w:t>
      </w:r>
      <w:r w:rsidR="00DB5B28">
        <w:rPr>
          <w:rStyle w:val="normaltextrun"/>
          <w:rFonts w:cs="Arial"/>
          <w:szCs w:val="28"/>
        </w:rPr>
        <w:t xml:space="preserve">: </w:t>
      </w:r>
      <w:hyperlink r:id="rId9" w:history="1">
        <w:r w:rsidR="00DB5B28" w:rsidRPr="00317C60">
          <w:rPr>
            <w:rStyle w:val="Hyperlink"/>
            <w:rFonts w:cs="Arial"/>
            <w:szCs w:val="28"/>
          </w:rPr>
          <w:t>https://disabilityvisibilityproject.com/book/</w:t>
        </w:r>
      </w:hyperlink>
      <w:r>
        <w:rPr>
          <w:rStyle w:val="normaltextrun"/>
          <w:rFonts w:cs="Arial"/>
          <w:szCs w:val="28"/>
        </w:rPr>
        <w:t>.</w:t>
      </w:r>
      <w:r w:rsidR="00DB5B28">
        <w:rPr>
          <w:rStyle w:val="normaltextrun"/>
          <w:rFonts w:cs="Arial"/>
          <w:szCs w:val="28"/>
        </w:rPr>
        <w:t xml:space="preserve"> </w:t>
      </w:r>
      <w:r>
        <w:rPr>
          <w:rStyle w:val="normaltextrun"/>
          <w:rFonts w:cs="Arial"/>
          <w:szCs w:val="28"/>
        </w:rPr>
        <w:t xml:space="preserve">Check out the reading suggestions I </w:t>
      </w:r>
      <w:r w:rsidR="00DB5B28">
        <w:rPr>
          <w:rStyle w:val="normaltextrun"/>
          <w:rFonts w:cs="Arial"/>
          <w:szCs w:val="28"/>
        </w:rPr>
        <w:t>have in the link on this handout</w:t>
      </w:r>
      <w:r>
        <w:rPr>
          <w:rStyle w:val="normaltextrun"/>
          <w:rFonts w:cs="Arial"/>
          <w:szCs w:val="28"/>
        </w:rPr>
        <w:t xml:space="preserve"> to learn more from the historians </w:t>
      </w:r>
      <w:r w:rsidR="00DB5B28">
        <w:rPr>
          <w:rStyle w:val="normaltextrun"/>
          <w:rFonts w:cs="Arial"/>
          <w:szCs w:val="28"/>
        </w:rPr>
        <w:t xml:space="preserve">and advocates </w:t>
      </w:r>
      <w:r>
        <w:rPr>
          <w:rStyle w:val="normaltextrun"/>
          <w:rFonts w:cs="Arial"/>
          <w:szCs w:val="28"/>
        </w:rPr>
        <w:t>who specialize in this history.</w:t>
      </w:r>
      <w:r>
        <w:rPr>
          <w:rStyle w:val="eop"/>
          <w:rFonts w:cs="Arial"/>
          <w:szCs w:val="28"/>
        </w:rPr>
        <w:t> </w:t>
      </w:r>
    </w:p>
    <w:p w14:paraId="5AF5D0EB" w14:textId="77777777" w:rsidR="00275CAE" w:rsidRDefault="00275CAE" w:rsidP="00884B59">
      <w:pPr>
        <w:ind w:left="0" w:hanging="3"/>
        <w:rPr>
          <w:rStyle w:val="eop"/>
          <w:rFonts w:cs="Arial"/>
          <w:szCs w:val="28"/>
        </w:rPr>
      </w:pPr>
    </w:p>
    <w:p w14:paraId="14765A18" w14:textId="657F0DE2" w:rsidR="00195FBE" w:rsidRDefault="00195FBE" w:rsidP="00DB5B28">
      <w:pPr>
        <w:ind w:left="0" w:hanging="3"/>
        <w:rPr>
          <w:rStyle w:val="normaltextrun"/>
          <w:rFonts w:cs="Arial"/>
          <w:szCs w:val="28"/>
        </w:rPr>
      </w:pPr>
      <w:r>
        <w:rPr>
          <w:rStyle w:val="normaltextrun"/>
          <w:rFonts w:cs="Arial"/>
          <w:szCs w:val="28"/>
        </w:rPr>
        <w:t xml:space="preserve">Another tactic I use in workshops is to bring in historical disability-related artifacts and photographs I collect. Perhaps my favorite artifact to talk about is this particular crutch but also crutches in general. As access tools, they </w:t>
      </w:r>
      <w:r>
        <w:rPr>
          <w:rStyle w:val="normaltextrun"/>
          <w:rFonts w:cs="Arial"/>
          <w:szCs w:val="28"/>
        </w:rPr>
        <w:lastRenderedPageBreak/>
        <w:t>mean something different for everyone. Which I think is a useful thing to keep in mind in our contemporary context too.</w:t>
      </w:r>
    </w:p>
    <w:p w14:paraId="76B06C61" w14:textId="77777777" w:rsidR="00275CAE" w:rsidRDefault="00275CAE" w:rsidP="00884B59">
      <w:pPr>
        <w:ind w:left="0" w:hanging="3"/>
        <w:rPr>
          <w:rStyle w:val="normaltextrun"/>
          <w:rFonts w:cs="Arial"/>
          <w:szCs w:val="28"/>
        </w:rPr>
      </w:pPr>
    </w:p>
    <w:p w14:paraId="52426367" w14:textId="007D4465" w:rsidR="00195FBE" w:rsidRDefault="00195FBE" w:rsidP="00884B59">
      <w:pPr>
        <w:ind w:left="0" w:hanging="3"/>
        <w:rPr>
          <w:rStyle w:val="eop"/>
          <w:rFonts w:cs="Arial"/>
          <w:szCs w:val="28"/>
        </w:rPr>
      </w:pPr>
      <w:r>
        <w:rPr>
          <w:rStyle w:val="normaltextrun"/>
          <w:rFonts w:cs="Arial"/>
          <w:szCs w:val="28"/>
        </w:rPr>
        <w:t>For example, I have written about a man name James Logan who identified as a “cripple” after a fall in the early eighteenth century. He wrote a lot about being “confined to crutches.”</w:t>
      </w:r>
      <w:r w:rsidR="00B317CB">
        <w:rPr>
          <w:rStyle w:val="FootnoteReference"/>
          <w:rFonts w:cs="Arial"/>
          <w:szCs w:val="28"/>
        </w:rPr>
        <w:footnoteReference w:id="1"/>
      </w:r>
      <w:r>
        <w:rPr>
          <w:rStyle w:val="normaltextrun"/>
          <w:rFonts w:cs="Arial"/>
          <w:szCs w:val="28"/>
        </w:rPr>
        <w:t xml:space="preserve"> But when you consider other people who used crutches, they used them and thought about them in very different ways. Take, for example, one runaway man we can learn about from a 1799 Baltimore newspaper (I will quote and use the historic term used to refer to the </w:t>
      </w:r>
      <w:r>
        <w:rPr>
          <w:rStyle w:val="contextualspellingandgrammarerror"/>
          <w:rFonts w:cs="Arial"/>
          <w:szCs w:val="28"/>
        </w:rPr>
        <w:t>runaway’s</w:t>
      </w:r>
      <w:r w:rsidR="00DB5B28">
        <w:rPr>
          <w:rStyle w:val="contextualspellingandgrammarerror"/>
          <w:rFonts w:cs="Arial"/>
          <w:szCs w:val="28"/>
        </w:rPr>
        <w:t xml:space="preserve"> disability and race</w:t>
      </w:r>
      <w:r>
        <w:rPr>
          <w:rStyle w:val="contextualspellingandgrammarerror"/>
          <w:rFonts w:cs="Arial"/>
          <w:szCs w:val="28"/>
        </w:rPr>
        <w:t>)</w:t>
      </w:r>
      <w:r>
        <w:rPr>
          <w:rStyle w:val="normaltextrun"/>
          <w:rFonts w:cs="Arial"/>
          <w:szCs w:val="28"/>
        </w:rPr>
        <w:t>: “ABSCONED from the subscriber...a Negro Man named NATHAN, about 29 years of age...one leg is of no use to him in walking, it being withered, and very little larger than his arm; he hops along upon a Crutch, and a Shoemaker by trade, a good strong workman—Carried off with him a set of tools…”</w:t>
      </w:r>
      <w:r w:rsidR="00B317CB">
        <w:rPr>
          <w:rStyle w:val="FootnoteReference"/>
          <w:rFonts w:cs="Arial"/>
          <w:szCs w:val="28"/>
        </w:rPr>
        <w:footnoteReference w:id="2"/>
      </w:r>
      <w:r>
        <w:rPr>
          <w:rStyle w:val="eop"/>
          <w:rFonts w:cs="Arial"/>
          <w:szCs w:val="28"/>
        </w:rPr>
        <w:t> </w:t>
      </w:r>
    </w:p>
    <w:p w14:paraId="6646F84C" w14:textId="77777777" w:rsidR="00DB5B28" w:rsidRDefault="00DB5B28" w:rsidP="00884B59">
      <w:pPr>
        <w:ind w:left="0" w:hanging="3"/>
        <w:rPr>
          <w:position w:val="0"/>
        </w:rPr>
      </w:pPr>
    </w:p>
    <w:p w14:paraId="136B8E01" w14:textId="693AC630" w:rsidR="00195FBE" w:rsidRDefault="00195FBE" w:rsidP="00884B59">
      <w:pPr>
        <w:ind w:left="0" w:hanging="3"/>
        <w:rPr>
          <w:rStyle w:val="eop"/>
          <w:rFonts w:cs="Arial"/>
          <w:szCs w:val="28"/>
        </w:rPr>
      </w:pPr>
      <w:r>
        <w:rPr>
          <w:rStyle w:val="normaltextrun"/>
          <w:rFonts w:cs="Arial"/>
          <w:szCs w:val="28"/>
        </w:rPr>
        <w:t>Nathan didn’t see crutches as confining; he saw that as tools for getting freedom. For disability then and now, context matters.</w:t>
      </w:r>
      <w:r>
        <w:rPr>
          <w:rStyle w:val="eop"/>
          <w:rFonts w:cs="Arial"/>
          <w:szCs w:val="28"/>
        </w:rPr>
        <w:t> </w:t>
      </w:r>
    </w:p>
    <w:p w14:paraId="0ED21082" w14:textId="77777777" w:rsidR="00275CAE" w:rsidRDefault="00275CAE" w:rsidP="00884B59">
      <w:pPr>
        <w:ind w:left="0" w:hanging="3"/>
        <w:rPr>
          <w:position w:val="0"/>
        </w:rPr>
      </w:pPr>
    </w:p>
    <w:p w14:paraId="5B094C6D" w14:textId="5DC0DB94" w:rsidR="00195FBE" w:rsidRDefault="00195FBE" w:rsidP="00154C99">
      <w:pPr>
        <w:ind w:left="0" w:hanging="3"/>
        <w:rPr>
          <w:rStyle w:val="normaltextrun"/>
          <w:rFonts w:cs="Arial"/>
          <w:szCs w:val="28"/>
        </w:rPr>
      </w:pPr>
      <w:r>
        <w:rPr>
          <w:rStyle w:val="normaltextrun"/>
          <w:rFonts w:cs="Arial"/>
          <w:szCs w:val="28"/>
        </w:rPr>
        <w:t xml:space="preserve">Ableism, or the exclusion of disabled people in favor of able-bodied people, has a long history, and we still grapple with it today. That’s why I usually start by talking </w:t>
      </w:r>
      <w:r w:rsidR="00154C99">
        <w:rPr>
          <w:rStyle w:val="normaltextrun"/>
          <w:rFonts w:cs="Arial"/>
          <w:szCs w:val="28"/>
        </w:rPr>
        <w:t>about</w:t>
      </w:r>
      <w:r>
        <w:rPr>
          <w:rStyle w:val="normaltextrun"/>
          <w:rFonts w:cs="Arial"/>
          <w:szCs w:val="28"/>
        </w:rPr>
        <w:t xml:space="preserve"> early American history and how relatively well-integrated and visible disabled people were in everyday life and explain how this changed over time. Use this history as a reason to work toward a more disability justice-centered present and future.</w:t>
      </w:r>
      <w:r w:rsidR="00154C99">
        <w:rPr>
          <w:rStyle w:val="normaltextrun"/>
          <w:rFonts w:cs="Arial"/>
          <w:szCs w:val="28"/>
        </w:rPr>
        <w:t xml:space="preserve"> When I say “disability justice,” I mean</w:t>
      </w:r>
      <w:r>
        <w:rPr>
          <w:rStyle w:val="normaltextrun"/>
          <w:rFonts w:cs="Arial"/>
          <w:szCs w:val="28"/>
        </w:rPr>
        <w:t xml:space="preserve"> </w:t>
      </w:r>
      <w:r w:rsidR="00154C99">
        <w:rPr>
          <w:rFonts w:cs="Arial"/>
          <w:szCs w:val="28"/>
        </w:rPr>
        <w:t>putting the burden on yourself and not disabled people to provide or start a conversation about access</w:t>
      </w:r>
      <w:r w:rsidR="00154C99">
        <w:rPr>
          <w:rFonts w:cs="Arial"/>
          <w:szCs w:val="28"/>
        </w:rPr>
        <w:t>.</w:t>
      </w:r>
    </w:p>
    <w:p w14:paraId="65F7EAB9" w14:textId="77777777" w:rsidR="00275CAE" w:rsidRDefault="00275CAE" w:rsidP="00884B59">
      <w:pPr>
        <w:ind w:left="0" w:hanging="3"/>
        <w:rPr>
          <w:rStyle w:val="normaltextrun"/>
          <w:rFonts w:cs="Arial"/>
          <w:szCs w:val="28"/>
        </w:rPr>
      </w:pPr>
    </w:p>
    <w:p w14:paraId="578A17BD" w14:textId="72F4B0D7" w:rsidR="00195FBE" w:rsidRDefault="00195FBE" w:rsidP="00884B59">
      <w:pPr>
        <w:ind w:left="0" w:hanging="3"/>
        <w:rPr>
          <w:rStyle w:val="normaltextrun"/>
          <w:rFonts w:cs="Arial"/>
          <w:szCs w:val="28"/>
        </w:rPr>
      </w:pPr>
      <w:r>
        <w:rPr>
          <w:rStyle w:val="normaltextrun"/>
          <w:rFonts w:cs="Arial"/>
          <w:szCs w:val="28"/>
        </w:rPr>
        <w:t xml:space="preserve">What are you doing or what will you do to make your practice of history more accessible and inclusive for disabled people? </w:t>
      </w:r>
    </w:p>
    <w:p w14:paraId="30312F0D" w14:textId="77777777" w:rsidR="00275CAE" w:rsidRDefault="00275CAE" w:rsidP="00884B59">
      <w:pPr>
        <w:ind w:left="0" w:hanging="3"/>
        <w:rPr>
          <w:rStyle w:val="normaltextrun"/>
          <w:rFonts w:cs="Arial"/>
          <w:szCs w:val="28"/>
        </w:rPr>
      </w:pPr>
    </w:p>
    <w:p w14:paraId="2C82C536" w14:textId="03F4F8C4" w:rsidR="00210941" w:rsidRDefault="00195FBE" w:rsidP="00884B59">
      <w:pPr>
        <w:ind w:left="0" w:hanging="3"/>
        <w:rPr>
          <w:position w:val="0"/>
        </w:rPr>
      </w:pPr>
      <w:r>
        <w:rPr>
          <w:rStyle w:val="normaltextrun"/>
          <w:rFonts w:cs="Arial"/>
          <w:szCs w:val="28"/>
        </w:rPr>
        <w:t>Wherever you are on your access journey, I hope today’s discussion will give you some ideas for moving forward.</w:t>
      </w:r>
    </w:p>
    <w:p w14:paraId="67F82EF3" w14:textId="372DFF83" w:rsidR="00884B59" w:rsidRDefault="00884B59" w:rsidP="00884B59">
      <w:pPr>
        <w:ind w:left="0" w:hanging="3"/>
        <w:rPr>
          <w:position w:val="0"/>
        </w:rPr>
      </w:pPr>
    </w:p>
    <w:p w14:paraId="7AB01941" w14:textId="3094A9D7" w:rsidR="00884B59" w:rsidRDefault="00884B59" w:rsidP="00154C99">
      <w:pPr>
        <w:ind w:left="0" w:hanging="3"/>
        <w:rPr>
          <w:rStyle w:val="Hyperlink"/>
          <w:rFonts w:cs="Arial"/>
          <w:i/>
          <w:iCs/>
          <w:szCs w:val="28"/>
        </w:rPr>
      </w:pPr>
      <w:r w:rsidRPr="007039BE">
        <w:rPr>
          <w:i/>
          <w:iCs/>
          <w:position w:val="0"/>
        </w:rPr>
        <w:t>Please see the online access copy for a listing of some of my favorite readings in disability history</w:t>
      </w:r>
      <w:r w:rsidR="00275CAE" w:rsidRPr="007039BE">
        <w:rPr>
          <w:i/>
          <w:iCs/>
          <w:position w:val="0"/>
        </w:rPr>
        <w:t xml:space="preserve"> that inform my work</w:t>
      </w:r>
      <w:r w:rsidRPr="007039BE">
        <w:rPr>
          <w:i/>
          <w:iCs/>
          <w:position w:val="0"/>
        </w:rPr>
        <w:t xml:space="preserve">: </w:t>
      </w:r>
      <w:hyperlink r:id="rId10" w:history="1">
        <w:r w:rsidRPr="007039BE">
          <w:rPr>
            <w:rStyle w:val="Hyperlink"/>
            <w:rFonts w:cs="Arial"/>
            <w:i/>
            <w:iCs/>
            <w:szCs w:val="28"/>
          </w:rPr>
          <w:t>bit.ly/NB-AccessCopy</w:t>
        </w:r>
      </w:hyperlink>
    </w:p>
    <w:p w14:paraId="3D3747DD" w14:textId="74E74233" w:rsidR="00FA6602" w:rsidRPr="005B50F7" w:rsidRDefault="00FA6602" w:rsidP="00FA6602">
      <w:pPr>
        <w:pStyle w:val="Heading2"/>
        <w:ind w:left="0" w:hanging="3"/>
      </w:pPr>
      <w:r w:rsidRPr="005B50F7">
        <w:lastRenderedPageBreak/>
        <w:t xml:space="preserve">Below, I listed </w:t>
      </w:r>
      <w:r>
        <w:t xml:space="preserve">just a few </w:t>
      </w:r>
      <w:r w:rsidRPr="005B50F7">
        <w:t xml:space="preserve">of my favorite works of disability history and tools for access and inclusion. Please also check out the hyperlinked material above. What are your favorites? </w:t>
      </w:r>
      <w:hyperlink r:id="rId11" w:history="1">
        <w:r w:rsidRPr="005B50F7">
          <w:rPr>
            <w:rStyle w:val="Hyperlink"/>
            <w:szCs w:val="32"/>
          </w:rPr>
          <w:t>Let me know</w:t>
        </w:r>
      </w:hyperlink>
      <w:r w:rsidRPr="005B50F7">
        <w:t xml:space="preserve">. </w:t>
      </w:r>
    </w:p>
    <w:p w14:paraId="0CCCB09F" w14:textId="77777777" w:rsidR="00FA6602" w:rsidRPr="005B50F7" w:rsidRDefault="00FA6602" w:rsidP="00FA6602">
      <w:pPr>
        <w:ind w:left="0" w:hanging="3"/>
        <w:rPr>
          <w:sz w:val="32"/>
          <w:szCs w:val="32"/>
        </w:rPr>
      </w:pPr>
    </w:p>
    <w:p w14:paraId="23A0743E" w14:textId="77777777" w:rsidR="00FA6602" w:rsidRPr="005B50F7" w:rsidRDefault="00FA6602" w:rsidP="00FA6602">
      <w:pPr>
        <w:ind w:left="0" w:hanging="3"/>
        <w:rPr>
          <w:sz w:val="32"/>
          <w:szCs w:val="32"/>
        </w:rPr>
      </w:pPr>
      <w:r w:rsidRPr="005B50F7">
        <w:rPr>
          <w:sz w:val="32"/>
          <w:szCs w:val="32"/>
        </w:rPr>
        <w:t xml:space="preserve">Douglas Baynton, </w:t>
      </w:r>
      <w:r w:rsidRPr="005B50F7">
        <w:rPr>
          <w:i/>
          <w:iCs/>
          <w:sz w:val="32"/>
          <w:szCs w:val="32"/>
        </w:rPr>
        <w:t>Defectives in the Land: Disability and Immigration in the Age of Eugenics</w:t>
      </w:r>
      <w:r w:rsidRPr="005B50F7">
        <w:rPr>
          <w:sz w:val="32"/>
          <w:szCs w:val="32"/>
        </w:rPr>
        <w:t xml:space="preserve"> (Chicago: The University of Chicago Press, 2016).</w:t>
      </w:r>
    </w:p>
    <w:p w14:paraId="5D983601" w14:textId="77777777" w:rsidR="00FA6602" w:rsidRPr="005B50F7" w:rsidRDefault="00FA6602" w:rsidP="00FA6602">
      <w:pPr>
        <w:ind w:left="0" w:hanging="3"/>
        <w:rPr>
          <w:sz w:val="32"/>
          <w:szCs w:val="32"/>
        </w:rPr>
      </w:pPr>
    </w:p>
    <w:p w14:paraId="335CA925" w14:textId="77777777" w:rsidR="00FA6602" w:rsidRPr="005B50F7" w:rsidRDefault="00FA6602" w:rsidP="00FA6602">
      <w:pPr>
        <w:ind w:left="0" w:hanging="3"/>
        <w:rPr>
          <w:sz w:val="32"/>
          <w:szCs w:val="32"/>
        </w:rPr>
      </w:pPr>
      <w:r w:rsidRPr="005B50F7">
        <w:rPr>
          <w:sz w:val="32"/>
          <w:szCs w:val="32"/>
        </w:rPr>
        <w:t xml:space="preserve">Daniel Blackie, “Disability, Dependency, and the Family in the Early United States,” in </w:t>
      </w:r>
      <w:r w:rsidRPr="005B50F7">
        <w:rPr>
          <w:i/>
          <w:iCs/>
          <w:sz w:val="32"/>
          <w:szCs w:val="32"/>
        </w:rPr>
        <w:t>Disability Histories</w:t>
      </w:r>
      <w:r w:rsidRPr="005B50F7">
        <w:rPr>
          <w:sz w:val="32"/>
          <w:szCs w:val="32"/>
        </w:rPr>
        <w:t>, eds. Susan Burch and Michael Rembis: 17-34.</w:t>
      </w:r>
    </w:p>
    <w:p w14:paraId="04D1AFAF" w14:textId="77777777" w:rsidR="00FA6602" w:rsidRPr="005B50F7" w:rsidRDefault="00FA6602" w:rsidP="00FA6602">
      <w:pPr>
        <w:ind w:left="0" w:hanging="3"/>
        <w:rPr>
          <w:sz w:val="32"/>
          <w:szCs w:val="32"/>
        </w:rPr>
      </w:pPr>
    </w:p>
    <w:p w14:paraId="7B4D8BBC" w14:textId="77777777" w:rsidR="00FA6602" w:rsidRPr="005B50F7" w:rsidRDefault="00FA6602" w:rsidP="00FA6602">
      <w:pPr>
        <w:ind w:left="0" w:hanging="3"/>
        <w:rPr>
          <w:sz w:val="32"/>
          <w:szCs w:val="32"/>
        </w:rPr>
      </w:pPr>
      <w:r w:rsidRPr="005B50F7">
        <w:rPr>
          <w:sz w:val="32"/>
          <w:szCs w:val="32"/>
        </w:rPr>
        <w:t xml:space="preserve">Dea Boster, </w:t>
      </w:r>
      <w:r w:rsidRPr="005B50F7">
        <w:rPr>
          <w:i/>
          <w:iCs/>
          <w:sz w:val="32"/>
          <w:szCs w:val="32"/>
        </w:rPr>
        <w:t>African American Slavery and Disability: Bodies, Property, and Power in the Antebellum South, 1800-1860</w:t>
      </w:r>
      <w:r w:rsidRPr="005B50F7">
        <w:rPr>
          <w:sz w:val="32"/>
          <w:szCs w:val="32"/>
        </w:rPr>
        <w:t xml:space="preserve"> (Routledge: New York, 2013).</w:t>
      </w:r>
    </w:p>
    <w:p w14:paraId="68F6B038" w14:textId="77777777" w:rsidR="00FA6602" w:rsidRPr="005B50F7" w:rsidRDefault="00FA6602" w:rsidP="00FA6602">
      <w:pPr>
        <w:ind w:left="0" w:hanging="3"/>
        <w:rPr>
          <w:sz w:val="32"/>
          <w:szCs w:val="32"/>
        </w:rPr>
      </w:pPr>
    </w:p>
    <w:p w14:paraId="5AD3372C" w14:textId="77777777" w:rsidR="00FA6602" w:rsidRPr="005B50F7" w:rsidRDefault="00FA6602" w:rsidP="00FA6602">
      <w:pPr>
        <w:ind w:left="0" w:hanging="3"/>
        <w:rPr>
          <w:sz w:val="32"/>
          <w:szCs w:val="32"/>
        </w:rPr>
      </w:pPr>
      <w:r w:rsidRPr="07C4A443">
        <w:rPr>
          <w:sz w:val="32"/>
          <w:szCs w:val="32"/>
        </w:rPr>
        <w:t xml:space="preserve">Alima Bucciantini, “Getting in the Door is the Battle,” AASLH Blog, American Association for State and Local History, January 22, 2019, </w:t>
      </w:r>
      <w:hyperlink r:id="rId12">
        <w:r w:rsidRPr="07C4A443">
          <w:rPr>
            <w:rStyle w:val="Hyperlink"/>
            <w:sz w:val="32"/>
            <w:szCs w:val="32"/>
          </w:rPr>
          <w:t>https://aaslh.org/getting-in-the-door/</w:t>
        </w:r>
      </w:hyperlink>
      <w:r w:rsidRPr="07C4A443">
        <w:rPr>
          <w:sz w:val="32"/>
          <w:szCs w:val="32"/>
        </w:rPr>
        <w:t>.</w:t>
      </w:r>
    </w:p>
    <w:p w14:paraId="73F88339" w14:textId="77777777" w:rsidR="00FA6602" w:rsidRPr="005B50F7" w:rsidRDefault="00FA6602" w:rsidP="00FA6602">
      <w:pPr>
        <w:ind w:left="0" w:hanging="3"/>
        <w:rPr>
          <w:sz w:val="32"/>
          <w:szCs w:val="32"/>
        </w:rPr>
      </w:pPr>
    </w:p>
    <w:p w14:paraId="1FCF25A8" w14:textId="77777777" w:rsidR="00FA6602" w:rsidRDefault="00FA6602" w:rsidP="00FA6602">
      <w:pPr>
        <w:ind w:left="0" w:hanging="3"/>
        <w:rPr>
          <w:sz w:val="32"/>
          <w:szCs w:val="32"/>
        </w:rPr>
      </w:pPr>
      <w:r w:rsidRPr="005B50F7">
        <w:rPr>
          <w:sz w:val="32"/>
          <w:szCs w:val="32"/>
        </w:rPr>
        <w:t xml:space="preserve">Susan Burch and Hannah Joyner, </w:t>
      </w:r>
      <w:r w:rsidRPr="005B50F7">
        <w:rPr>
          <w:i/>
          <w:iCs/>
          <w:sz w:val="32"/>
          <w:szCs w:val="32"/>
        </w:rPr>
        <w:t xml:space="preserve">Unspeakable: The Story of Junius Wilson </w:t>
      </w:r>
      <w:r w:rsidRPr="005B50F7">
        <w:rPr>
          <w:sz w:val="32"/>
          <w:szCs w:val="32"/>
        </w:rPr>
        <w:t>(Durham: University of North Carolina Press, [2007] 2015).</w:t>
      </w:r>
    </w:p>
    <w:p w14:paraId="68E472EC" w14:textId="77777777" w:rsidR="00FA6602" w:rsidRPr="005B50F7" w:rsidRDefault="00FA6602" w:rsidP="00FA6602">
      <w:pPr>
        <w:ind w:left="0" w:hanging="3"/>
        <w:rPr>
          <w:sz w:val="32"/>
          <w:szCs w:val="32"/>
        </w:rPr>
      </w:pPr>
    </w:p>
    <w:p w14:paraId="1F19C039" w14:textId="77777777" w:rsidR="00FA6602" w:rsidRPr="005B50F7" w:rsidRDefault="00FA6602" w:rsidP="00FA6602">
      <w:pPr>
        <w:ind w:left="0" w:hanging="3"/>
        <w:rPr>
          <w:rStyle w:val="Hyperlink"/>
          <w:sz w:val="32"/>
          <w:szCs w:val="32"/>
        </w:rPr>
      </w:pPr>
      <w:hyperlink r:id="rId13" w:history="1">
        <w:r w:rsidRPr="005B50F7">
          <w:rPr>
            <w:rStyle w:val="Hyperlink"/>
            <w:sz w:val="32"/>
            <w:szCs w:val="32"/>
          </w:rPr>
          <w:t xml:space="preserve">Susan Burch, </w:t>
        </w:r>
        <w:r w:rsidRPr="005B50F7">
          <w:rPr>
            <w:rStyle w:val="Hyperlink"/>
            <w:i/>
            <w:iCs/>
            <w:sz w:val="32"/>
            <w:szCs w:val="32"/>
          </w:rPr>
          <w:t>Committed: Remembering Native Kinship in and Beyond Institutions</w:t>
        </w:r>
        <w:r w:rsidRPr="005B50F7">
          <w:rPr>
            <w:rStyle w:val="Hyperlink"/>
            <w:sz w:val="32"/>
            <w:szCs w:val="32"/>
          </w:rPr>
          <w:t xml:space="preserve"> (Chapel Hill: University of North Carolina Press, 2021). Open access.</w:t>
        </w:r>
      </w:hyperlink>
    </w:p>
    <w:p w14:paraId="39F0012E" w14:textId="77777777" w:rsidR="00FA6602" w:rsidRPr="005B50F7" w:rsidRDefault="00FA6602" w:rsidP="00FA6602">
      <w:pPr>
        <w:ind w:left="0" w:hanging="3"/>
        <w:rPr>
          <w:sz w:val="32"/>
          <w:szCs w:val="32"/>
        </w:rPr>
      </w:pPr>
    </w:p>
    <w:p w14:paraId="476A1D93" w14:textId="77777777" w:rsidR="00FA6602" w:rsidRPr="005B50F7" w:rsidRDefault="00FA6602" w:rsidP="00FA6602">
      <w:pPr>
        <w:ind w:left="0" w:hanging="3"/>
        <w:rPr>
          <w:sz w:val="32"/>
          <w:szCs w:val="32"/>
        </w:rPr>
      </w:pPr>
      <w:r w:rsidRPr="005B50F7">
        <w:rPr>
          <w:sz w:val="32"/>
          <w:szCs w:val="32"/>
        </w:rPr>
        <w:t xml:space="preserve">Daniel Göransson, “Alt-texts: The Ultimate Guide,” Axess Lab, October 15, 2017, </w:t>
      </w:r>
      <w:hyperlink r:id="rId14" w:history="1">
        <w:r w:rsidRPr="005B50F7">
          <w:rPr>
            <w:rStyle w:val="Hyperlink"/>
            <w:sz w:val="32"/>
            <w:szCs w:val="32"/>
          </w:rPr>
          <w:t>https://axesslab.com/alt-texts</w:t>
        </w:r>
      </w:hyperlink>
      <w:r w:rsidRPr="005B50F7">
        <w:rPr>
          <w:sz w:val="32"/>
          <w:szCs w:val="32"/>
        </w:rPr>
        <w:t>/.</w:t>
      </w:r>
    </w:p>
    <w:p w14:paraId="4CFD5E67" w14:textId="77777777" w:rsidR="00FA6602" w:rsidRPr="005B50F7" w:rsidRDefault="00FA6602" w:rsidP="00FA6602">
      <w:pPr>
        <w:ind w:left="0" w:hanging="3"/>
        <w:rPr>
          <w:sz w:val="32"/>
          <w:szCs w:val="32"/>
        </w:rPr>
      </w:pPr>
    </w:p>
    <w:p w14:paraId="2F1B72A1" w14:textId="77777777" w:rsidR="00FA6602" w:rsidRPr="005B50F7" w:rsidRDefault="00FA6602" w:rsidP="00FA6602">
      <w:pPr>
        <w:ind w:left="0" w:hanging="3"/>
        <w:rPr>
          <w:sz w:val="32"/>
          <w:szCs w:val="32"/>
        </w:rPr>
      </w:pPr>
      <w:r w:rsidRPr="07C4A443">
        <w:rPr>
          <w:sz w:val="32"/>
          <w:szCs w:val="32"/>
        </w:rPr>
        <w:t>Aimi Hamraie, "Mapping Access: Digital Humanities, Disability Justice, and Sociospatial Practice," American Quarterly 70, 3 (2018): 455-482.</w:t>
      </w:r>
    </w:p>
    <w:p w14:paraId="4B0962D4" w14:textId="77777777" w:rsidR="00FA6602" w:rsidRDefault="00FA6602" w:rsidP="00FA6602">
      <w:pPr>
        <w:ind w:left="0" w:hanging="3"/>
        <w:rPr>
          <w:szCs w:val="28"/>
        </w:rPr>
      </w:pPr>
    </w:p>
    <w:p w14:paraId="42213EC6" w14:textId="77777777" w:rsidR="00FA6602" w:rsidRPr="005B50F7" w:rsidRDefault="00FA6602" w:rsidP="00FA6602">
      <w:pPr>
        <w:ind w:left="0" w:hanging="3"/>
        <w:rPr>
          <w:sz w:val="32"/>
          <w:szCs w:val="32"/>
        </w:rPr>
      </w:pPr>
      <w:r w:rsidRPr="005B50F7">
        <w:rPr>
          <w:sz w:val="32"/>
          <w:szCs w:val="32"/>
        </w:rPr>
        <w:t xml:space="preserve">Sarah Hendron, </w:t>
      </w:r>
      <w:r w:rsidRPr="005B50F7">
        <w:rPr>
          <w:i/>
          <w:iCs/>
          <w:sz w:val="32"/>
          <w:szCs w:val="32"/>
        </w:rPr>
        <w:t>What Can a Body Do?: How we Meet the Built World</w:t>
      </w:r>
      <w:r w:rsidRPr="005B50F7">
        <w:rPr>
          <w:sz w:val="32"/>
          <w:szCs w:val="32"/>
        </w:rPr>
        <w:t xml:space="preserve"> (New York: Riverhead, 2020).</w:t>
      </w:r>
    </w:p>
    <w:p w14:paraId="10721104" w14:textId="77777777" w:rsidR="00FA6602" w:rsidRPr="005B50F7" w:rsidRDefault="00FA6602" w:rsidP="00FA6602">
      <w:pPr>
        <w:ind w:left="0" w:hanging="3"/>
        <w:rPr>
          <w:i/>
          <w:iCs/>
          <w:sz w:val="32"/>
          <w:szCs w:val="32"/>
        </w:rPr>
      </w:pPr>
    </w:p>
    <w:p w14:paraId="03038D31" w14:textId="77777777" w:rsidR="00FA6602" w:rsidRPr="005B50F7" w:rsidRDefault="00FA6602" w:rsidP="00FA6602">
      <w:pPr>
        <w:ind w:left="0" w:hanging="3"/>
        <w:rPr>
          <w:sz w:val="32"/>
          <w:szCs w:val="32"/>
        </w:rPr>
      </w:pPr>
      <w:r w:rsidRPr="005B50F7">
        <w:rPr>
          <w:sz w:val="32"/>
          <w:szCs w:val="32"/>
        </w:rPr>
        <w:t xml:space="preserve">Sara Hendren, and Caitrin Lynch, </w:t>
      </w:r>
      <w:r w:rsidRPr="005B50F7">
        <w:rPr>
          <w:i/>
          <w:iCs/>
          <w:sz w:val="32"/>
          <w:szCs w:val="32"/>
        </w:rPr>
        <w:t>Engineering at Home</w:t>
      </w:r>
      <w:r w:rsidRPr="005B50F7">
        <w:rPr>
          <w:sz w:val="32"/>
          <w:szCs w:val="32"/>
        </w:rPr>
        <w:t xml:space="preserve">, </w:t>
      </w:r>
      <w:hyperlink r:id="rId15" w:history="1">
        <w:r w:rsidRPr="005B50F7">
          <w:rPr>
            <w:rStyle w:val="Hyperlink"/>
            <w:sz w:val="32"/>
            <w:szCs w:val="32"/>
          </w:rPr>
          <w:t>http://engineeringathome.org/</w:t>
        </w:r>
      </w:hyperlink>
      <w:r w:rsidRPr="005B50F7">
        <w:rPr>
          <w:sz w:val="32"/>
          <w:szCs w:val="32"/>
        </w:rPr>
        <w:t>, accessed July 21, 2022.</w:t>
      </w:r>
    </w:p>
    <w:p w14:paraId="3A4C2FE6" w14:textId="77777777" w:rsidR="00FA6602" w:rsidRPr="005B50F7" w:rsidRDefault="00FA6602" w:rsidP="00FA6602">
      <w:pPr>
        <w:ind w:left="0" w:hanging="3"/>
        <w:rPr>
          <w:sz w:val="32"/>
          <w:szCs w:val="32"/>
        </w:rPr>
      </w:pPr>
    </w:p>
    <w:p w14:paraId="17D64CA6" w14:textId="77777777" w:rsidR="00FA6602" w:rsidRPr="005B50F7" w:rsidRDefault="00FA6602" w:rsidP="00FA6602">
      <w:pPr>
        <w:ind w:left="0" w:hanging="3"/>
        <w:rPr>
          <w:sz w:val="32"/>
          <w:szCs w:val="32"/>
        </w:rPr>
      </w:pPr>
      <w:r w:rsidRPr="005B50F7">
        <w:rPr>
          <w:sz w:val="32"/>
          <w:szCs w:val="32"/>
        </w:rPr>
        <w:t xml:space="preserve">Judy Heumann, </w:t>
      </w:r>
      <w:r w:rsidRPr="005B50F7">
        <w:rPr>
          <w:i/>
          <w:iCs/>
          <w:sz w:val="32"/>
          <w:szCs w:val="32"/>
        </w:rPr>
        <w:t>Being Heumann: An Unrepentant Memoir of a Disability Rights Activist</w:t>
      </w:r>
      <w:r w:rsidRPr="005B50F7">
        <w:rPr>
          <w:sz w:val="32"/>
          <w:szCs w:val="32"/>
        </w:rPr>
        <w:t xml:space="preserve"> (Boston: Beacon Press, 2020).</w:t>
      </w:r>
    </w:p>
    <w:p w14:paraId="1347285E" w14:textId="77777777" w:rsidR="00FA6602" w:rsidRPr="005B50F7" w:rsidRDefault="00FA6602" w:rsidP="00FA6602">
      <w:pPr>
        <w:ind w:left="0" w:hanging="3"/>
        <w:rPr>
          <w:sz w:val="32"/>
          <w:szCs w:val="32"/>
        </w:rPr>
      </w:pPr>
    </w:p>
    <w:p w14:paraId="2BE44A22" w14:textId="77777777" w:rsidR="00FA6602" w:rsidRPr="005B50F7" w:rsidRDefault="00FA6602" w:rsidP="00FA6602">
      <w:pPr>
        <w:ind w:left="0" w:hanging="3"/>
        <w:rPr>
          <w:sz w:val="32"/>
          <w:szCs w:val="32"/>
        </w:rPr>
      </w:pPr>
      <w:r w:rsidRPr="005B50F7">
        <w:rPr>
          <w:sz w:val="32"/>
          <w:szCs w:val="32"/>
        </w:rPr>
        <w:t xml:space="preserve">Stefanie Hunt-Kennedy, </w:t>
      </w:r>
      <w:r w:rsidRPr="005B50F7">
        <w:rPr>
          <w:i/>
          <w:iCs/>
          <w:sz w:val="32"/>
          <w:szCs w:val="32"/>
        </w:rPr>
        <w:t>Between Fitness and Death: Disability and Slavery in the Caribbean</w:t>
      </w:r>
      <w:r w:rsidRPr="005B50F7">
        <w:rPr>
          <w:sz w:val="32"/>
          <w:szCs w:val="32"/>
        </w:rPr>
        <w:t xml:space="preserve"> (University of Illinois Press, 2020).</w:t>
      </w:r>
    </w:p>
    <w:p w14:paraId="6FFCC5BA" w14:textId="77777777" w:rsidR="00FA6602" w:rsidRPr="005B50F7" w:rsidRDefault="00FA6602" w:rsidP="00FA6602">
      <w:pPr>
        <w:ind w:left="0" w:hanging="3"/>
        <w:rPr>
          <w:sz w:val="32"/>
          <w:szCs w:val="32"/>
        </w:rPr>
      </w:pPr>
    </w:p>
    <w:p w14:paraId="4F3A666F" w14:textId="77777777" w:rsidR="00FA6602" w:rsidRPr="005B50F7" w:rsidRDefault="00FA6602" w:rsidP="00FA6602">
      <w:pPr>
        <w:ind w:left="0" w:hanging="3"/>
        <w:rPr>
          <w:sz w:val="32"/>
          <w:szCs w:val="32"/>
        </w:rPr>
      </w:pPr>
      <w:r w:rsidRPr="005B50F7">
        <w:rPr>
          <w:sz w:val="32"/>
          <w:szCs w:val="32"/>
        </w:rPr>
        <w:t xml:space="preserve">Beth Linker, War’s Waste: </w:t>
      </w:r>
      <w:r w:rsidRPr="005B50F7">
        <w:rPr>
          <w:i/>
          <w:iCs/>
          <w:sz w:val="32"/>
          <w:szCs w:val="32"/>
        </w:rPr>
        <w:t xml:space="preserve">Rehabilitation in World War I America </w:t>
      </w:r>
      <w:r w:rsidRPr="005B50F7">
        <w:rPr>
          <w:sz w:val="32"/>
          <w:szCs w:val="32"/>
        </w:rPr>
        <w:t>(Chicago: The University of Chicago Press, 2011).</w:t>
      </w:r>
    </w:p>
    <w:p w14:paraId="0E787F87" w14:textId="77777777" w:rsidR="00FA6602" w:rsidRPr="005B50F7" w:rsidRDefault="00FA6602" w:rsidP="00FA6602">
      <w:pPr>
        <w:ind w:left="0" w:hanging="3"/>
        <w:rPr>
          <w:sz w:val="32"/>
          <w:szCs w:val="32"/>
        </w:rPr>
      </w:pPr>
    </w:p>
    <w:p w14:paraId="3FC1114B" w14:textId="77777777" w:rsidR="00FA6602" w:rsidRPr="005B50F7" w:rsidRDefault="00FA6602" w:rsidP="00FA6602">
      <w:pPr>
        <w:ind w:left="0" w:hanging="3"/>
        <w:rPr>
          <w:sz w:val="32"/>
          <w:szCs w:val="32"/>
        </w:rPr>
      </w:pPr>
      <w:r w:rsidRPr="005B50F7">
        <w:rPr>
          <w:sz w:val="32"/>
          <w:szCs w:val="32"/>
        </w:rPr>
        <w:t xml:space="preserve">Paul K. Longmore, </w:t>
      </w:r>
      <w:r w:rsidRPr="005B50F7">
        <w:rPr>
          <w:i/>
          <w:iCs/>
          <w:sz w:val="32"/>
          <w:szCs w:val="32"/>
        </w:rPr>
        <w:t>Telethons: Spectacle, Disability, and the Business of Charity</w:t>
      </w:r>
      <w:r w:rsidRPr="005B50F7">
        <w:rPr>
          <w:sz w:val="32"/>
          <w:szCs w:val="32"/>
        </w:rPr>
        <w:t xml:space="preserve"> (New York: Oxford University Press, 2016).</w:t>
      </w:r>
    </w:p>
    <w:p w14:paraId="6CC14D60" w14:textId="77777777" w:rsidR="00FA6602" w:rsidRPr="005B50F7" w:rsidRDefault="00FA6602" w:rsidP="00FA6602">
      <w:pPr>
        <w:ind w:left="0" w:hanging="3"/>
        <w:rPr>
          <w:sz w:val="32"/>
          <w:szCs w:val="32"/>
        </w:rPr>
      </w:pPr>
    </w:p>
    <w:p w14:paraId="4EC241A1" w14:textId="77777777" w:rsidR="00FA6602" w:rsidRPr="005B50F7" w:rsidRDefault="00FA6602" w:rsidP="00FA6602">
      <w:pPr>
        <w:ind w:left="0" w:hanging="3"/>
        <w:rPr>
          <w:sz w:val="32"/>
          <w:szCs w:val="32"/>
        </w:rPr>
      </w:pPr>
      <w:r w:rsidRPr="005B50F7">
        <w:rPr>
          <w:sz w:val="32"/>
          <w:szCs w:val="32"/>
        </w:rPr>
        <w:t xml:space="preserve">Laura Mauldin, </w:t>
      </w:r>
      <w:r w:rsidRPr="005B50F7">
        <w:rPr>
          <w:i/>
          <w:iCs/>
          <w:sz w:val="32"/>
          <w:szCs w:val="32"/>
        </w:rPr>
        <w:t>Disability at Home</w:t>
      </w:r>
      <w:r w:rsidRPr="005B50F7">
        <w:rPr>
          <w:sz w:val="32"/>
          <w:szCs w:val="32"/>
        </w:rPr>
        <w:t xml:space="preserve">, accessed July 21, 2022, </w:t>
      </w:r>
      <w:hyperlink r:id="rId16" w:history="1">
        <w:r w:rsidRPr="005B50F7">
          <w:rPr>
            <w:rStyle w:val="Hyperlink"/>
            <w:sz w:val="32"/>
            <w:szCs w:val="32"/>
          </w:rPr>
          <w:t>https://www.disabilityathome.org/</w:t>
        </w:r>
      </w:hyperlink>
      <w:r w:rsidRPr="005B50F7">
        <w:rPr>
          <w:sz w:val="32"/>
          <w:szCs w:val="32"/>
        </w:rPr>
        <w:t xml:space="preserve">. </w:t>
      </w:r>
    </w:p>
    <w:p w14:paraId="0D5C8ABE" w14:textId="77777777" w:rsidR="00FA6602" w:rsidRPr="005B50F7" w:rsidRDefault="00FA6602" w:rsidP="00FA6602">
      <w:pPr>
        <w:ind w:left="0" w:hanging="3"/>
        <w:rPr>
          <w:sz w:val="32"/>
          <w:szCs w:val="32"/>
        </w:rPr>
      </w:pPr>
    </w:p>
    <w:p w14:paraId="324358EA" w14:textId="77777777" w:rsidR="00FA6602" w:rsidRPr="005B50F7" w:rsidRDefault="00FA6602" w:rsidP="00FA6602">
      <w:pPr>
        <w:ind w:left="0" w:hanging="3"/>
        <w:rPr>
          <w:rStyle w:val="Hyperlink"/>
          <w:sz w:val="32"/>
          <w:szCs w:val="32"/>
        </w:rPr>
      </w:pPr>
      <w:r w:rsidRPr="005B50F7">
        <w:rPr>
          <w:sz w:val="32"/>
          <w:szCs w:val="32"/>
        </w:rPr>
        <w:t xml:space="preserve">Mia Mingus, “Changing the Framework: Disability Justice: How our communities can move beyond access to wholeness,” Leaving Evidence, February 12, 2011, </w:t>
      </w:r>
      <w:r w:rsidRPr="005B50F7">
        <w:rPr>
          <w:sz w:val="32"/>
          <w:szCs w:val="32"/>
        </w:rPr>
        <w:fldChar w:fldCharType="begin"/>
      </w:r>
      <w:r w:rsidRPr="005B50F7">
        <w:rPr>
          <w:sz w:val="32"/>
          <w:szCs w:val="32"/>
        </w:rPr>
        <w:instrText xml:space="preserve"> HYPERLINK "https://leavingevidence.wordpress.com/2011/02/12/changing-the-framework-disability-justice/" </w:instrText>
      </w:r>
      <w:r w:rsidRPr="005B50F7">
        <w:rPr>
          <w:sz w:val="32"/>
          <w:szCs w:val="32"/>
        </w:rPr>
      </w:r>
      <w:r w:rsidRPr="005B50F7">
        <w:rPr>
          <w:sz w:val="32"/>
          <w:szCs w:val="32"/>
        </w:rPr>
        <w:fldChar w:fldCharType="separate"/>
      </w:r>
      <w:r w:rsidRPr="005B50F7">
        <w:rPr>
          <w:rStyle w:val="Hyperlink"/>
          <w:sz w:val="32"/>
          <w:szCs w:val="32"/>
        </w:rPr>
        <w:t>https://leavingevidence.wordpress.com/2011/02/12/changing-the-</w:t>
      </w:r>
    </w:p>
    <w:p w14:paraId="5CB6E432" w14:textId="77777777" w:rsidR="00FA6602" w:rsidRPr="005B50F7" w:rsidRDefault="00FA6602" w:rsidP="00FA6602">
      <w:pPr>
        <w:ind w:left="0" w:hanging="3"/>
        <w:rPr>
          <w:sz w:val="32"/>
          <w:szCs w:val="32"/>
        </w:rPr>
      </w:pPr>
      <w:r w:rsidRPr="005B50F7">
        <w:rPr>
          <w:rStyle w:val="Hyperlink"/>
          <w:sz w:val="32"/>
          <w:szCs w:val="32"/>
        </w:rPr>
        <w:t>framework-disability-justice/</w:t>
      </w:r>
      <w:r w:rsidRPr="005B50F7">
        <w:rPr>
          <w:sz w:val="32"/>
          <w:szCs w:val="32"/>
        </w:rPr>
        <w:fldChar w:fldCharType="end"/>
      </w:r>
      <w:r w:rsidRPr="005B50F7">
        <w:rPr>
          <w:sz w:val="32"/>
          <w:szCs w:val="32"/>
        </w:rPr>
        <w:t xml:space="preserve">.  </w:t>
      </w:r>
    </w:p>
    <w:p w14:paraId="6F5D2E2C" w14:textId="77777777" w:rsidR="00FA6602" w:rsidRPr="005B50F7" w:rsidRDefault="00FA6602" w:rsidP="00FA6602">
      <w:pPr>
        <w:ind w:left="0" w:hanging="3"/>
        <w:rPr>
          <w:sz w:val="32"/>
          <w:szCs w:val="32"/>
        </w:rPr>
      </w:pPr>
    </w:p>
    <w:p w14:paraId="64C15048" w14:textId="77777777" w:rsidR="00FA6602" w:rsidRPr="005B50F7" w:rsidRDefault="00FA6602" w:rsidP="00FA6602">
      <w:pPr>
        <w:ind w:left="0" w:hanging="3"/>
        <w:rPr>
          <w:sz w:val="32"/>
          <w:szCs w:val="32"/>
        </w:rPr>
      </w:pPr>
      <w:r w:rsidRPr="005B50F7">
        <w:rPr>
          <w:sz w:val="32"/>
          <w:szCs w:val="32"/>
        </w:rPr>
        <w:t xml:space="preserve">Aparna Nair and Kylie M. Smith, “Who Would Buy Real Patient Records from Closed Asylums on eBay,” </w:t>
      </w:r>
      <w:r w:rsidRPr="005B50F7">
        <w:rPr>
          <w:i/>
          <w:iCs/>
          <w:sz w:val="32"/>
          <w:szCs w:val="32"/>
        </w:rPr>
        <w:t>Slate</w:t>
      </w:r>
      <w:r w:rsidRPr="005B50F7">
        <w:rPr>
          <w:sz w:val="32"/>
          <w:szCs w:val="32"/>
        </w:rPr>
        <w:t xml:space="preserve">, July 21, 2022, </w:t>
      </w:r>
      <w:hyperlink r:id="rId17" w:history="1">
        <w:r w:rsidRPr="005B50F7">
          <w:rPr>
            <w:rStyle w:val="Hyperlink"/>
            <w:sz w:val="32"/>
            <w:szCs w:val="32"/>
          </w:rPr>
          <w:t>https://slate.com/technology/2022/07/vintage-asylum-records-found-on-ebay-history-of-disability.html</w:t>
        </w:r>
      </w:hyperlink>
      <w:r w:rsidRPr="005B50F7">
        <w:rPr>
          <w:sz w:val="32"/>
          <w:szCs w:val="32"/>
        </w:rPr>
        <w:t xml:space="preserve">. </w:t>
      </w:r>
    </w:p>
    <w:p w14:paraId="6731D590" w14:textId="77777777" w:rsidR="00FA6602" w:rsidRPr="005B50F7" w:rsidRDefault="00FA6602" w:rsidP="00FA6602">
      <w:pPr>
        <w:ind w:left="0" w:hanging="3"/>
        <w:rPr>
          <w:sz w:val="32"/>
          <w:szCs w:val="32"/>
        </w:rPr>
      </w:pPr>
    </w:p>
    <w:p w14:paraId="7DDAD55E" w14:textId="77777777" w:rsidR="00FA6602" w:rsidRPr="005B50F7" w:rsidRDefault="00FA6602" w:rsidP="00FA6602">
      <w:pPr>
        <w:ind w:left="0" w:hanging="3"/>
        <w:rPr>
          <w:sz w:val="32"/>
          <w:szCs w:val="32"/>
        </w:rPr>
      </w:pPr>
      <w:r w:rsidRPr="005B50F7">
        <w:rPr>
          <w:sz w:val="32"/>
          <w:szCs w:val="32"/>
        </w:rPr>
        <w:t xml:space="preserve">Kim E. Nielsen, </w:t>
      </w:r>
      <w:r w:rsidRPr="005B50F7">
        <w:rPr>
          <w:i/>
          <w:iCs/>
          <w:sz w:val="32"/>
          <w:szCs w:val="32"/>
        </w:rPr>
        <w:t>Money, Marriage, and Madness: The Life of Anna Ott</w:t>
      </w:r>
      <w:r w:rsidRPr="005B50F7">
        <w:rPr>
          <w:sz w:val="32"/>
          <w:szCs w:val="32"/>
        </w:rPr>
        <w:t xml:space="preserve"> (University of Illinois Press, 2020).</w:t>
      </w:r>
    </w:p>
    <w:p w14:paraId="4F38721B" w14:textId="77777777" w:rsidR="00FA6602" w:rsidRPr="005B50F7" w:rsidRDefault="00FA6602" w:rsidP="00FA6602">
      <w:pPr>
        <w:ind w:left="0" w:hanging="3"/>
        <w:rPr>
          <w:sz w:val="32"/>
          <w:szCs w:val="32"/>
        </w:rPr>
      </w:pPr>
    </w:p>
    <w:p w14:paraId="437E527F" w14:textId="77777777" w:rsidR="00FA6602" w:rsidRPr="005B50F7" w:rsidRDefault="00FA6602" w:rsidP="00FA6602">
      <w:pPr>
        <w:ind w:left="0" w:hanging="3"/>
        <w:rPr>
          <w:sz w:val="32"/>
          <w:szCs w:val="32"/>
        </w:rPr>
      </w:pPr>
      <w:r w:rsidRPr="005B50F7">
        <w:rPr>
          <w:sz w:val="32"/>
          <w:szCs w:val="32"/>
        </w:rPr>
        <w:t xml:space="preserve">Katherine Ott, “Disability Things: Material Culture and American Disability History, 1700–2010,” in </w:t>
      </w:r>
      <w:r w:rsidRPr="005B50F7">
        <w:rPr>
          <w:i/>
          <w:iCs/>
          <w:sz w:val="32"/>
          <w:szCs w:val="32"/>
        </w:rPr>
        <w:t>Disability Histories</w:t>
      </w:r>
      <w:r w:rsidRPr="005B50F7">
        <w:rPr>
          <w:sz w:val="32"/>
          <w:szCs w:val="32"/>
        </w:rPr>
        <w:t>, eds. Susan Burch and Michael Rembis (Chicago: University of Illinois Press, 2014): 119-135.</w:t>
      </w:r>
    </w:p>
    <w:p w14:paraId="602FA00F" w14:textId="77777777" w:rsidR="00FA6602" w:rsidRPr="005B50F7" w:rsidRDefault="00FA6602" w:rsidP="00FA6602">
      <w:pPr>
        <w:ind w:left="0" w:hanging="3"/>
        <w:rPr>
          <w:sz w:val="32"/>
          <w:szCs w:val="32"/>
        </w:rPr>
      </w:pPr>
    </w:p>
    <w:p w14:paraId="1E1C5C0F" w14:textId="77777777" w:rsidR="00FA6602" w:rsidRDefault="00FA6602" w:rsidP="00FA6602">
      <w:pPr>
        <w:ind w:left="0" w:hanging="3"/>
        <w:rPr>
          <w:sz w:val="32"/>
          <w:szCs w:val="32"/>
        </w:rPr>
      </w:pPr>
      <w:r w:rsidRPr="005B50F7">
        <w:rPr>
          <w:sz w:val="32"/>
          <w:szCs w:val="32"/>
        </w:rPr>
        <w:t xml:space="preserve">Ellen Samuels, “Six Ways of Looking at Crip Time,” Disability Studies Quarterly 37, 3 (2017), </w:t>
      </w:r>
      <w:hyperlink r:id="rId18" w:history="1">
        <w:r w:rsidRPr="005B50F7">
          <w:rPr>
            <w:rStyle w:val="Hyperlink"/>
            <w:sz w:val="32"/>
            <w:szCs w:val="32"/>
          </w:rPr>
          <w:t>https://dsq-sds.org/article/view/5824/4684</w:t>
        </w:r>
      </w:hyperlink>
      <w:r w:rsidRPr="005B50F7">
        <w:rPr>
          <w:sz w:val="32"/>
          <w:szCs w:val="32"/>
        </w:rPr>
        <w:t xml:space="preserve">. </w:t>
      </w:r>
    </w:p>
    <w:p w14:paraId="4104618C" w14:textId="77777777" w:rsidR="00FA6602" w:rsidRPr="005B50F7" w:rsidRDefault="00FA6602" w:rsidP="00FA6602">
      <w:pPr>
        <w:ind w:left="0" w:hanging="3"/>
        <w:rPr>
          <w:sz w:val="32"/>
          <w:szCs w:val="32"/>
        </w:rPr>
      </w:pPr>
    </w:p>
    <w:p w14:paraId="601F173E" w14:textId="77777777" w:rsidR="00FA6602" w:rsidRPr="005B50F7" w:rsidRDefault="00FA6602" w:rsidP="00FA6602">
      <w:pPr>
        <w:ind w:left="0" w:hanging="3"/>
        <w:rPr>
          <w:sz w:val="32"/>
          <w:szCs w:val="32"/>
        </w:rPr>
      </w:pPr>
      <w:r w:rsidRPr="005B50F7">
        <w:rPr>
          <w:sz w:val="32"/>
          <w:szCs w:val="32"/>
        </w:rPr>
        <w:t xml:space="preserve">James Sumner, “Adding captions (subtitles) to your video,” July 22, 2020, </w:t>
      </w:r>
      <w:hyperlink r:id="rId19" w:history="1">
        <w:r w:rsidRPr="005B50F7">
          <w:rPr>
            <w:rStyle w:val="Hyperlink"/>
            <w:sz w:val="32"/>
            <w:szCs w:val="32"/>
          </w:rPr>
          <w:t>https://www.youtube.com/watch?v=HbkPstO6hqM&amp;t=632s</w:t>
        </w:r>
      </w:hyperlink>
      <w:r w:rsidRPr="005B50F7">
        <w:rPr>
          <w:sz w:val="32"/>
          <w:szCs w:val="32"/>
        </w:rPr>
        <w:t xml:space="preserve">. </w:t>
      </w:r>
    </w:p>
    <w:p w14:paraId="23CB8822" w14:textId="77777777" w:rsidR="00FA6602" w:rsidRPr="005B50F7" w:rsidRDefault="00FA6602" w:rsidP="00FA6602">
      <w:pPr>
        <w:ind w:left="0" w:hanging="3"/>
        <w:rPr>
          <w:sz w:val="32"/>
          <w:szCs w:val="32"/>
        </w:rPr>
      </w:pPr>
    </w:p>
    <w:p w14:paraId="52323553" w14:textId="77777777" w:rsidR="00FA6602" w:rsidRPr="005B50F7" w:rsidRDefault="00FA6602" w:rsidP="00FA6602">
      <w:pPr>
        <w:ind w:left="0" w:hanging="3"/>
        <w:rPr>
          <w:sz w:val="32"/>
          <w:szCs w:val="32"/>
        </w:rPr>
      </w:pPr>
      <w:r w:rsidRPr="07C4A443">
        <w:rPr>
          <w:sz w:val="32"/>
          <w:szCs w:val="32"/>
        </w:rPr>
        <w:t xml:space="preserve">Jorge Matos Valldejuli, The Racialized History of Disability Activism from the “Willowbrooks of this World,” </w:t>
      </w:r>
      <w:r w:rsidRPr="07C4A443">
        <w:rPr>
          <w:i/>
          <w:iCs/>
          <w:sz w:val="32"/>
          <w:szCs w:val="32"/>
        </w:rPr>
        <w:t>The Activist History Review</w:t>
      </w:r>
      <w:r w:rsidRPr="07C4A443">
        <w:rPr>
          <w:sz w:val="32"/>
          <w:szCs w:val="32"/>
        </w:rPr>
        <w:t xml:space="preserve">, November 4, 2019, </w:t>
      </w:r>
      <w:hyperlink r:id="rId20">
        <w:r w:rsidRPr="07C4A443">
          <w:rPr>
            <w:rStyle w:val="Hyperlink"/>
            <w:sz w:val="32"/>
            <w:szCs w:val="32"/>
          </w:rPr>
          <w:t>https://activisthistory.com/2019/11/04/the-racialized-history-of-disability-activism-from-the-willowbrooks-of-this-world1/</w:t>
        </w:r>
      </w:hyperlink>
      <w:r w:rsidRPr="07C4A443">
        <w:rPr>
          <w:sz w:val="32"/>
          <w:szCs w:val="32"/>
        </w:rPr>
        <w:t xml:space="preserve">. </w:t>
      </w:r>
    </w:p>
    <w:p w14:paraId="6B349B19" w14:textId="77777777" w:rsidR="00FA6602" w:rsidRDefault="00FA6602" w:rsidP="00FA6602">
      <w:pPr>
        <w:ind w:left="0" w:hanging="3"/>
        <w:rPr>
          <w:szCs w:val="28"/>
        </w:rPr>
      </w:pPr>
    </w:p>
    <w:p w14:paraId="5C2F0824" w14:textId="77777777" w:rsidR="00FA6602" w:rsidRPr="005B50F7" w:rsidRDefault="00FA6602" w:rsidP="00FA6602">
      <w:pPr>
        <w:ind w:left="0" w:hanging="3"/>
        <w:rPr>
          <w:sz w:val="32"/>
          <w:szCs w:val="32"/>
        </w:rPr>
      </w:pPr>
      <w:r w:rsidRPr="005B50F7">
        <w:rPr>
          <w:sz w:val="32"/>
          <w:szCs w:val="32"/>
        </w:rPr>
        <w:t xml:space="preserve">National Center on Disability Journalism, “Disability Language Style,” </w:t>
      </w:r>
      <w:hyperlink r:id="rId21" w:history="1">
        <w:r w:rsidRPr="005B50F7">
          <w:rPr>
            <w:rStyle w:val="Hyperlink"/>
            <w:sz w:val="32"/>
            <w:szCs w:val="32"/>
          </w:rPr>
          <w:t>https://ncdj.org/style-guide/</w:t>
        </w:r>
      </w:hyperlink>
      <w:r w:rsidRPr="005B50F7">
        <w:rPr>
          <w:sz w:val="32"/>
          <w:szCs w:val="32"/>
        </w:rPr>
        <w:t xml:space="preserve">. </w:t>
      </w:r>
    </w:p>
    <w:p w14:paraId="135822E0" w14:textId="77777777" w:rsidR="00FA6602" w:rsidRPr="005B50F7" w:rsidRDefault="00FA6602" w:rsidP="00FA6602">
      <w:pPr>
        <w:ind w:left="0" w:hanging="3"/>
        <w:rPr>
          <w:sz w:val="32"/>
          <w:szCs w:val="32"/>
        </w:rPr>
      </w:pPr>
    </w:p>
    <w:p w14:paraId="373E9E07" w14:textId="77777777" w:rsidR="00FA6602" w:rsidRPr="005B50F7" w:rsidRDefault="00FA6602" w:rsidP="00FA6602">
      <w:pPr>
        <w:ind w:left="0" w:hanging="3"/>
        <w:rPr>
          <w:sz w:val="32"/>
          <w:szCs w:val="32"/>
        </w:rPr>
      </w:pPr>
      <w:r w:rsidRPr="005B50F7">
        <w:rPr>
          <w:sz w:val="32"/>
          <w:szCs w:val="32"/>
        </w:rPr>
        <w:t xml:space="preserve">Bess Williamson, </w:t>
      </w:r>
      <w:r w:rsidRPr="005B50F7">
        <w:rPr>
          <w:i/>
          <w:iCs/>
          <w:sz w:val="32"/>
          <w:szCs w:val="32"/>
        </w:rPr>
        <w:t>Accessible America: A History of Disability and Design</w:t>
      </w:r>
      <w:r w:rsidRPr="005B50F7">
        <w:rPr>
          <w:sz w:val="32"/>
          <w:szCs w:val="32"/>
        </w:rPr>
        <w:t xml:space="preserve"> (New York: New York University Press, 2019).</w:t>
      </w:r>
    </w:p>
    <w:p w14:paraId="78414449" w14:textId="77777777" w:rsidR="00FA6602" w:rsidRPr="005B50F7" w:rsidRDefault="00FA6602" w:rsidP="00FA6602">
      <w:pPr>
        <w:ind w:left="0" w:hanging="3"/>
        <w:rPr>
          <w:sz w:val="32"/>
          <w:szCs w:val="32"/>
        </w:rPr>
      </w:pPr>
    </w:p>
    <w:p w14:paraId="7AE5AB3D" w14:textId="77777777" w:rsidR="00FA6602" w:rsidRPr="005B50F7" w:rsidRDefault="00FA6602" w:rsidP="00FA6602">
      <w:pPr>
        <w:ind w:left="0" w:hanging="3"/>
        <w:rPr>
          <w:sz w:val="32"/>
          <w:szCs w:val="32"/>
        </w:rPr>
      </w:pPr>
      <w:r w:rsidRPr="005B50F7">
        <w:rPr>
          <w:sz w:val="32"/>
          <w:szCs w:val="32"/>
        </w:rPr>
        <w:t xml:space="preserve">Alice Wong, ed., </w:t>
      </w:r>
      <w:r w:rsidRPr="005B50F7">
        <w:rPr>
          <w:i/>
          <w:iCs/>
          <w:sz w:val="32"/>
          <w:szCs w:val="32"/>
        </w:rPr>
        <w:t>Disability Visibility: First-Person Stories from the 21</w:t>
      </w:r>
      <w:r w:rsidRPr="005B50F7">
        <w:rPr>
          <w:i/>
          <w:iCs/>
          <w:sz w:val="32"/>
          <w:szCs w:val="32"/>
          <w:vertAlign w:val="superscript"/>
        </w:rPr>
        <w:t>st</w:t>
      </w:r>
      <w:r w:rsidRPr="005B50F7">
        <w:rPr>
          <w:i/>
          <w:iCs/>
          <w:sz w:val="32"/>
          <w:szCs w:val="32"/>
        </w:rPr>
        <w:t xml:space="preserve"> Century</w:t>
      </w:r>
      <w:r w:rsidRPr="005B50F7">
        <w:rPr>
          <w:sz w:val="32"/>
          <w:szCs w:val="32"/>
        </w:rPr>
        <w:t xml:space="preserve"> (New York: Vintage, 2020).</w:t>
      </w:r>
    </w:p>
    <w:p w14:paraId="52446F73" w14:textId="77777777" w:rsidR="00FA6602" w:rsidRPr="00FA6602" w:rsidRDefault="00FA6602" w:rsidP="00154C99">
      <w:pPr>
        <w:ind w:left="0" w:hanging="3"/>
      </w:pPr>
    </w:p>
    <w:sectPr w:rsidR="00FA6602" w:rsidRPr="00FA6602" w:rsidSect="00275CAE">
      <w:footerReference w:type="even" r:id="rId22"/>
      <w:footerReference w:type="default" r:id="rId23"/>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48128" w14:textId="77777777" w:rsidR="00756D76" w:rsidRDefault="00756D76" w:rsidP="00275CAE">
      <w:pPr>
        <w:spacing w:line="240" w:lineRule="auto"/>
        <w:ind w:left="0" w:hanging="3"/>
      </w:pPr>
      <w:r>
        <w:separator/>
      </w:r>
    </w:p>
  </w:endnote>
  <w:endnote w:type="continuationSeparator" w:id="0">
    <w:p w14:paraId="62BC5E2F" w14:textId="77777777" w:rsidR="00756D76" w:rsidRDefault="00756D76" w:rsidP="00275CAE">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1402750"/>
      <w:docPartObj>
        <w:docPartGallery w:val="Page Numbers (Bottom of Page)"/>
        <w:docPartUnique/>
      </w:docPartObj>
    </w:sdtPr>
    <w:sdtContent>
      <w:p w14:paraId="1C61303A" w14:textId="76F0F6DD" w:rsidR="00275CAE" w:rsidRDefault="00275CAE" w:rsidP="00317C60">
        <w:pPr>
          <w:pStyle w:val="Footer"/>
          <w:framePr w:wrap="none" w:vAnchor="text" w:hAnchor="margin" w:xAlign="right" w:y="1"/>
          <w:ind w:left="0" w:hanging="3"/>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3FBDCE" w14:textId="77777777" w:rsidR="00275CAE" w:rsidRDefault="00275CAE" w:rsidP="00275CAE">
    <w:pPr>
      <w:pStyle w:val="Footer"/>
      <w:ind w:left="0" w:right="360" w:hanging="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6092249"/>
      <w:docPartObj>
        <w:docPartGallery w:val="Page Numbers (Bottom of Page)"/>
        <w:docPartUnique/>
      </w:docPartObj>
    </w:sdtPr>
    <w:sdtContent>
      <w:p w14:paraId="2C88FA5E" w14:textId="75FF7930" w:rsidR="00275CAE" w:rsidRDefault="00275CAE" w:rsidP="00317C60">
        <w:pPr>
          <w:pStyle w:val="Footer"/>
          <w:framePr w:wrap="none" w:vAnchor="text" w:hAnchor="margin" w:xAlign="right" w:y="1"/>
          <w:ind w:left="0" w:hanging="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E99F16" w14:textId="77777777" w:rsidR="00275CAE" w:rsidRDefault="00275CAE" w:rsidP="00275CAE">
    <w:pPr>
      <w:pStyle w:val="Footer"/>
      <w:ind w:left="0" w:right="360" w:hanging="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9FD6" w14:textId="77777777" w:rsidR="00756D76" w:rsidRDefault="00756D76" w:rsidP="00275CAE">
      <w:pPr>
        <w:spacing w:line="240" w:lineRule="auto"/>
        <w:ind w:left="0" w:hanging="3"/>
      </w:pPr>
      <w:r>
        <w:separator/>
      </w:r>
    </w:p>
  </w:footnote>
  <w:footnote w:type="continuationSeparator" w:id="0">
    <w:p w14:paraId="3197630B" w14:textId="77777777" w:rsidR="00756D76" w:rsidRDefault="00756D76" w:rsidP="00275CAE">
      <w:pPr>
        <w:spacing w:line="240" w:lineRule="auto"/>
        <w:ind w:left="0" w:hanging="3"/>
      </w:pPr>
      <w:r>
        <w:continuationSeparator/>
      </w:r>
    </w:p>
  </w:footnote>
  <w:footnote w:id="1">
    <w:p w14:paraId="60B58645" w14:textId="3488DA85" w:rsidR="00B317CB" w:rsidRDefault="00B317CB">
      <w:pPr>
        <w:pStyle w:val="FootnoteText"/>
        <w:ind w:hanging="2"/>
      </w:pPr>
      <w:r>
        <w:rPr>
          <w:rStyle w:val="FootnoteReference"/>
        </w:rPr>
        <w:footnoteRef/>
      </w:r>
      <w:r>
        <w:t xml:space="preserve"> </w:t>
      </w:r>
      <w:r w:rsidRPr="00B317CB">
        <w:t xml:space="preserve">“‘Confined to Crutches’: James Logan and the Material Culture of Disability in Early America,” </w:t>
      </w:r>
      <w:r w:rsidRPr="00B317CB">
        <w:rPr>
          <w:i/>
          <w:iCs/>
        </w:rPr>
        <w:t>Pennsylvania Legacies</w:t>
      </w:r>
      <w:r w:rsidRPr="00B317CB">
        <w:t>, Vol. 17, No. 2 (Fall 2017): 6-11</w:t>
      </w:r>
      <w:r>
        <w:t xml:space="preserve">, </w:t>
      </w:r>
      <w:hyperlink r:id="rId1" w:history="1">
        <w:r w:rsidRPr="00317C60">
          <w:rPr>
            <w:rStyle w:val="Hyperlink"/>
          </w:rPr>
          <w:t>https://issuu.com/hspannualreport2014/docs/legacies_fall17</w:t>
        </w:r>
      </w:hyperlink>
      <w:r>
        <w:t xml:space="preserve">. </w:t>
      </w:r>
    </w:p>
  </w:footnote>
  <w:footnote w:id="2">
    <w:p w14:paraId="2D447948" w14:textId="629D2A08" w:rsidR="00B317CB" w:rsidRDefault="00B317CB">
      <w:pPr>
        <w:pStyle w:val="FootnoteText"/>
        <w:ind w:hanging="2"/>
      </w:pPr>
      <w:r>
        <w:rPr>
          <w:rStyle w:val="FootnoteReference"/>
        </w:rPr>
        <w:footnoteRef/>
      </w:r>
      <w:r>
        <w:t xml:space="preserve"> </w:t>
      </w:r>
      <w:r w:rsidRPr="00B317CB">
        <w:t xml:space="preserve">“Fifty Dollars Reward,” </w:t>
      </w:r>
      <w:r w:rsidRPr="00B317CB">
        <w:rPr>
          <w:i/>
          <w:iCs/>
        </w:rPr>
        <w:t>American</w:t>
      </w:r>
      <w:r w:rsidRPr="00B317CB">
        <w:t xml:space="preserve"> (published as American And Daily Advertiser) (Baltimore, MD), December 28, 1799, page 8. America’s Historical Newspapers.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35E"/>
    <w:rsid w:val="00096B16"/>
    <w:rsid w:val="000F1841"/>
    <w:rsid w:val="001355D8"/>
    <w:rsid w:val="00154C99"/>
    <w:rsid w:val="00195FBE"/>
    <w:rsid w:val="00206A73"/>
    <w:rsid w:val="00210941"/>
    <w:rsid w:val="00275CAE"/>
    <w:rsid w:val="0033362E"/>
    <w:rsid w:val="003647B2"/>
    <w:rsid w:val="004E54C7"/>
    <w:rsid w:val="00570587"/>
    <w:rsid w:val="007039BE"/>
    <w:rsid w:val="00752747"/>
    <w:rsid w:val="00756D76"/>
    <w:rsid w:val="0086735E"/>
    <w:rsid w:val="00884B59"/>
    <w:rsid w:val="00A83FBA"/>
    <w:rsid w:val="00B317CB"/>
    <w:rsid w:val="00C45890"/>
    <w:rsid w:val="00D40E53"/>
    <w:rsid w:val="00D71393"/>
    <w:rsid w:val="00DB5B28"/>
    <w:rsid w:val="00DE475D"/>
    <w:rsid w:val="00FA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1293"/>
  <w15:chartTrackingRefBased/>
  <w15:docId w15:val="{92E4E15E-7635-5748-961E-AB8153C8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B59"/>
    <w:pPr>
      <w:suppressAutoHyphens/>
      <w:spacing w:line="1" w:lineRule="atLeast"/>
      <w:ind w:leftChars="-1" w:left="-1" w:hangingChars="1" w:hanging="1"/>
      <w:textDirection w:val="btLr"/>
      <w:textAlignment w:val="top"/>
      <w:outlineLvl w:val="0"/>
    </w:pPr>
    <w:rPr>
      <w:rFonts w:ascii="Arial" w:eastAsia="Times New Roman" w:hAnsi="Arial" w:cs="Times New Roman"/>
      <w:position w:val="-1"/>
      <w:sz w:val="28"/>
    </w:rPr>
  </w:style>
  <w:style w:type="paragraph" w:styleId="Heading1">
    <w:name w:val="heading 1"/>
    <w:basedOn w:val="Normal"/>
    <w:next w:val="Normal"/>
    <w:link w:val="Heading1Char"/>
    <w:uiPriority w:val="9"/>
    <w:qFormat/>
    <w:rsid w:val="00884B59"/>
    <w:pPr>
      <w:keepNext/>
      <w:keepLines/>
      <w:spacing w:before="24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884B59"/>
    <w:pPr>
      <w:keepNext/>
      <w:keepLines/>
      <w:spacing w:before="40"/>
      <w:outlineLvl w:val="1"/>
    </w:pPr>
    <w:rPr>
      <w:rFonts w:eastAsiaTheme="majorEastAsia" w:cstheme="majorBidi"/>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tlink--hash">
    <w:name w:val="bitlink--hash"/>
    <w:basedOn w:val="DefaultParagraphFont"/>
    <w:rsid w:val="00C45890"/>
  </w:style>
  <w:style w:type="character" w:styleId="Hyperlink">
    <w:name w:val="Hyperlink"/>
    <w:basedOn w:val="DefaultParagraphFont"/>
    <w:uiPriority w:val="99"/>
    <w:unhideWhenUsed/>
    <w:rsid w:val="00C45890"/>
    <w:rPr>
      <w:color w:val="0563C1" w:themeColor="hyperlink"/>
      <w:u w:val="single"/>
    </w:rPr>
  </w:style>
  <w:style w:type="character" w:styleId="UnresolvedMention">
    <w:name w:val="Unresolved Mention"/>
    <w:basedOn w:val="DefaultParagraphFont"/>
    <w:uiPriority w:val="99"/>
    <w:semiHidden/>
    <w:unhideWhenUsed/>
    <w:rsid w:val="00C45890"/>
    <w:rPr>
      <w:color w:val="605E5C"/>
      <w:shd w:val="clear" w:color="auto" w:fill="E1DFDD"/>
    </w:rPr>
  </w:style>
  <w:style w:type="paragraph" w:customStyle="1" w:styleId="paragraph">
    <w:name w:val="paragraph"/>
    <w:basedOn w:val="Normal"/>
    <w:rsid w:val="00206A73"/>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normaltextrun">
    <w:name w:val="normaltextrun"/>
    <w:basedOn w:val="DefaultParagraphFont"/>
    <w:rsid w:val="00206A73"/>
  </w:style>
  <w:style w:type="character" w:customStyle="1" w:styleId="eop">
    <w:name w:val="eop"/>
    <w:basedOn w:val="DefaultParagraphFont"/>
    <w:rsid w:val="00206A73"/>
  </w:style>
  <w:style w:type="character" w:customStyle="1" w:styleId="contextualspellingandgrammarerror">
    <w:name w:val="contextualspellingandgrammarerror"/>
    <w:basedOn w:val="DefaultParagraphFont"/>
    <w:rsid w:val="00195FBE"/>
  </w:style>
  <w:style w:type="character" w:customStyle="1" w:styleId="Heading1Char">
    <w:name w:val="Heading 1 Char"/>
    <w:basedOn w:val="DefaultParagraphFont"/>
    <w:link w:val="Heading1"/>
    <w:uiPriority w:val="9"/>
    <w:rsid w:val="00884B59"/>
    <w:rPr>
      <w:rFonts w:ascii="Arial" w:eastAsiaTheme="majorEastAsia" w:hAnsi="Arial" w:cstheme="majorBidi"/>
      <w:color w:val="000000" w:themeColor="text1"/>
      <w:position w:val="-1"/>
      <w:sz w:val="36"/>
      <w:szCs w:val="32"/>
    </w:rPr>
  </w:style>
  <w:style w:type="character" w:customStyle="1" w:styleId="Heading2Char">
    <w:name w:val="Heading 2 Char"/>
    <w:basedOn w:val="DefaultParagraphFont"/>
    <w:link w:val="Heading2"/>
    <w:uiPriority w:val="9"/>
    <w:rsid w:val="00884B59"/>
    <w:rPr>
      <w:rFonts w:ascii="Arial" w:eastAsiaTheme="majorEastAsia" w:hAnsi="Arial" w:cstheme="majorBidi"/>
      <w:color w:val="000000" w:themeColor="text1"/>
      <w:position w:val="-1"/>
      <w:sz w:val="32"/>
      <w:szCs w:val="26"/>
    </w:rPr>
  </w:style>
  <w:style w:type="paragraph" w:styleId="Footer">
    <w:name w:val="footer"/>
    <w:basedOn w:val="Normal"/>
    <w:link w:val="FooterChar"/>
    <w:uiPriority w:val="99"/>
    <w:unhideWhenUsed/>
    <w:rsid w:val="00275CAE"/>
    <w:pPr>
      <w:tabs>
        <w:tab w:val="center" w:pos="4680"/>
        <w:tab w:val="right" w:pos="9360"/>
      </w:tabs>
      <w:spacing w:line="240" w:lineRule="auto"/>
    </w:pPr>
  </w:style>
  <w:style w:type="character" w:customStyle="1" w:styleId="FooterChar">
    <w:name w:val="Footer Char"/>
    <w:basedOn w:val="DefaultParagraphFont"/>
    <w:link w:val="Footer"/>
    <w:uiPriority w:val="99"/>
    <w:rsid w:val="00275CAE"/>
    <w:rPr>
      <w:rFonts w:ascii="Arial" w:eastAsia="Times New Roman" w:hAnsi="Arial" w:cs="Times New Roman"/>
      <w:position w:val="-1"/>
      <w:sz w:val="28"/>
    </w:rPr>
  </w:style>
  <w:style w:type="character" w:styleId="PageNumber">
    <w:name w:val="page number"/>
    <w:basedOn w:val="DefaultParagraphFont"/>
    <w:uiPriority w:val="99"/>
    <w:semiHidden/>
    <w:unhideWhenUsed/>
    <w:rsid w:val="00275CAE"/>
  </w:style>
  <w:style w:type="paragraph" w:styleId="FootnoteText">
    <w:name w:val="footnote text"/>
    <w:basedOn w:val="Normal"/>
    <w:link w:val="FootnoteTextChar"/>
    <w:uiPriority w:val="99"/>
    <w:semiHidden/>
    <w:unhideWhenUsed/>
    <w:rsid w:val="00B317CB"/>
    <w:pPr>
      <w:spacing w:line="240" w:lineRule="auto"/>
    </w:pPr>
    <w:rPr>
      <w:sz w:val="20"/>
      <w:szCs w:val="20"/>
    </w:rPr>
  </w:style>
  <w:style w:type="character" w:customStyle="1" w:styleId="FootnoteTextChar">
    <w:name w:val="Footnote Text Char"/>
    <w:basedOn w:val="DefaultParagraphFont"/>
    <w:link w:val="FootnoteText"/>
    <w:uiPriority w:val="99"/>
    <w:semiHidden/>
    <w:rsid w:val="00B317CB"/>
    <w:rPr>
      <w:rFonts w:ascii="Arial" w:eastAsia="Times New Roman" w:hAnsi="Arial" w:cs="Times New Roman"/>
      <w:position w:val="-1"/>
      <w:sz w:val="20"/>
      <w:szCs w:val="20"/>
    </w:rPr>
  </w:style>
  <w:style w:type="character" w:styleId="FootnoteReference">
    <w:name w:val="footnote reference"/>
    <w:basedOn w:val="DefaultParagraphFont"/>
    <w:uiPriority w:val="99"/>
    <w:semiHidden/>
    <w:unhideWhenUsed/>
    <w:rsid w:val="00B317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4156">
      <w:bodyDiv w:val="1"/>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sChild>
            <w:div w:id="2023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8208">
      <w:bodyDiv w:val="1"/>
      <w:marLeft w:val="0"/>
      <w:marRight w:val="0"/>
      <w:marTop w:val="0"/>
      <w:marBottom w:val="0"/>
      <w:divBdr>
        <w:top w:val="none" w:sz="0" w:space="0" w:color="auto"/>
        <w:left w:val="none" w:sz="0" w:space="0" w:color="auto"/>
        <w:bottom w:val="none" w:sz="0" w:space="0" w:color="auto"/>
        <w:right w:val="none" w:sz="0" w:space="0" w:color="auto"/>
      </w:divBdr>
      <w:divsChild>
        <w:div w:id="1980912699">
          <w:marLeft w:val="0"/>
          <w:marRight w:val="0"/>
          <w:marTop w:val="0"/>
          <w:marBottom w:val="0"/>
          <w:divBdr>
            <w:top w:val="none" w:sz="0" w:space="0" w:color="auto"/>
            <w:left w:val="none" w:sz="0" w:space="0" w:color="auto"/>
            <w:bottom w:val="none" w:sz="0" w:space="0" w:color="auto"/>
            <w:right w:val="none" w:sz="0" w:space="0" w:color="auto"/>
          </w:divBdr>
        </w:div>
      </w:divsChild>
    </w:div>
    <w:div w:id="859006389">
      <w:bodyDiv w:val="1"/>
      <w:marLeft w:val="0"/>
      <w:marRight w:val="0"/>
      <w:marTop w:val="0"/>
      <w:marBottom w:val="0"/>
      <w:divBdr>
        <w:top w:val="none" w:sz="0" w:space="0" w:color="auto"/>
        <w:left w:val="none" w:sz="0" w:space="0" w:color="auto"/>
        <w:bottom w:val="none" w:sz="0" w:space="0" w:color="auto"/>
        <w:right w:val="none" w:sz="0" w:space="0" w:color="auto"/>
      </w:divBdr>
      <w:divsChild>
        <w:div w:id="1777676359">
          <w:marLeft w:val="0"/>
          <w:marRight w:val="0"/>
          <w:marTop w:val="0"/>
          <w:marBottom w:val="0"/>
          <w:divBdr>
            <w:top w:val="none" w:sz="0" w:space="0" w:color="auto"/>
            <w:left w:val="none" w:sz="0" w:space="0" w:color="auto"/>
            <w:bottom w:val="none" w:sz="0" w:space="0" w:color="auto"/>
            <w:right w:val="none" w:sz="0" w:space="0" w:color="auto"/>
          </w:divBdr>
        </w:div>
      </w:divsChild>
    </w:div>
    <w:div w:id="1381175377">
      <w:bodyDiv w:val="1"/>
      <w:marLeft w:val="0"/>
      <w:marRight w:val="0"/>
      <w:marTop w:val="0"/>
      <w:marBottom w:val="0"/>
      <w:divBdr>
        <w:top w:val="none" w:sz="0" w:space="0" w:color="auto"/>
        <w:left w:val="none" w:sz="0" w:space="0" w:color="auto"/>
        <w:bottom w:val="none" w:sz="0" w:space="0" w:color="auto"/>
        <w:right w:val="none" w:sz="0" w:space="0" w:color="auto"/>
      </w:divBdr>
      <w:divsChild>
        <w:div w:id="2127964365">
          <w:marLeft w:val="0"/>
          <w:marRight w:val="0"/>
          <w:marTop w:val="0"/>
          <w:marBottom w:val="0"/>
          <w:divBdr>
            <w:top w:val="none" w:sz="0" w:space="0" w:color="auto"/>
            <w:left w:val="none" w:sz="0" w:space="0" w:color="auto"/>
            <w:bottom w:val="none" w:sz="0" w:space="0" w:color="auto"/>
            <w:right w:val="none" w:sz="0" w:space="0" w:color="auto"/>
          </w:divBdr>
          <w:divsChild>
            <w:div w:id="3654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29811">
      <w:bodyDiv w:val="1"/>
      <w:marLeft w:val="0"/>
      <w:marRight w:val="0"/>
      <w:marTop w:val="0"/>
      <w:marBottom w:val="0"/>
      <w:divBdr>
        <w:top w:val="none" w:sz="0" w:space="0" w:color="auto"/>
        <w:left w:val="none" w:sz="0" w:space="0" w:color="auto"/>
        <w:bottom w:val="none" w:sz="0" w:space="0" w:color="auto"/>
        <w:right w:val="none" w:sz="0" w:space="0" w:color="auto"/>
      </w:divBdr>
      <w:divsChild>
        <w:div w:id="1626305410">
          <w:marLeft w:val="0"/>
          <w:marRight w:val="0"/>
          <w:marTop w:val="0"/>
          <w:marBottom w:val="0"/>
          <w:divBdr>
            <w:top w:val="none" w:sz="0" w:space="0" w:color="auto"/>
            <w:left w:val="none" w:sz="0" w:space="0" w:color="auto"/>
            <w:bottom w:val="none" w:sz="0" w:space="0" w:color="auto"/>
            <w:right w:val="none" w:sz="0" w:space="0" w:color="auto"/>
          </w:divBdr>
          <w:divsChild>
            <w:div w:id="11829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5231">
      <w:bodyDiv w:val="1"/>
      <w:marLeft w:val="0"/>
      <w:marRight w:val="0"/>
      <w:marTop w:val="0"/>
      <w:marBottom w:val="0"/>
      <w:divBdr>
        <w:top w:val="none" w:sz="0" w:space="0" w:color="auto"/>
        <w:left w:val="none" w:sz="0" w:space="0" w:color="auto"/>
        <w:bottom w:val="none" w:sz="0" w:space="0" w:color="auto"/>
        <w:right w:val="none" w:sz="0" w:space="0" w:color="auto"/>
      </w:divBdr>
      <w:divsChild>
        <w:div w:id="663507122">
          <w:marLeft w:val="0"/>
          <w:marRight w:val="0"/>
          <w:marTop w:val="0"/>
          <w:marBottom w:val="0"/>
          <w:divBdr>
            <w:top w:val="none" w:sz="0" w:space="0" w:color="auto"/>
            <w:left w:val="none" w:sz="0" w:space="0" w:color="auto"/>
            <w:bottom w:val="none" w:sz="0" w:space="0" w:color="auto"/>
            <w:right w:val="none" w:sz="0" w:space="0" w:color="auto"/>
          </w:divBdr>
          <w:divsChild>
            <w:div w:id="1871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4754">
      <w:bodyDiv w:val="1"/>
      <w:marLeft w:val="0"/>
      <w:marRight w:val="0"/>
      <w:marTop w:val="0"/>
      <w:marBottom w:val="0"/>
      <w:divBdr>
        <w:top w:val="none" w:sz="0" w:space="0" w:color="auto"/>
        <w:left w:val="none" w:sz="0" w:space="0" w:color="auto"/>
        <w:bottom w:val="none" w:sz="0" w:space="0" w:color="auto"/>
        <w:right w:val="none" w:sz="0" w:space="0" w:color="auto"/>
      </w:divBdr>
      <w:divsChild>
        <w:div w:id="406343045">
          <w:marLeft w:val="0"/>
          <w:marRight w:val="0"/>
          <w:marTop w:val="0"/>
          <w:marBottom w:val="0"/>
          <w:divBdr>
            <w:top w:val="none" w:sz="0" w:space="0" w:color="auto"/>
            <w:left w:val="none" w:sz="0" w:space="0" w:color="auto"/>
            <w:bottom w:val="none" w:sz="0" w:space="0" w:color="auto"/>
            <w:right w:val="none" w:sz="0" w:space="0" w:color="auto"/>
          </w:divBdr>
          <w:divsChild>
            <w:div w:id="11077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elolan@gmail.com" TargetMode="External"/><Relationship Id="rId13" Type="http://schemas.openxmlformats.org/officeDocument/2006/relationships/hyperlink" Target="https://uncpress.org/book/9781469661629/committed/" TargetMode="External"/><Relationship Id="rId18" Type="http://schemas.openxmlformats.org/officeDocument/2006/relationships/hyperlink" Target="https://dsq-sds.org/article/view/5824/4684" TargetMode="External"/><Relationship Id="rId3" Type="http://schemas.openxmlformats.org/officeDocument/2006/relationships/settings" Target="settings.xml"/><Relationship Id="rId21" Type="http://schemas.openxmlformats.org/officeDocument/2006/relationships/hyperlink" Target="https://ncdj.org/style-guide/" TargetMode="External"/><Relationship Id="rId7" Type="http://schemas.openxmlformats.org/officeDocument/2006/relationships/hyperlink" Target="file:///Users/nicolebelolan/Desktop/bit.ly/NB-AccessCopy" TargetMode="External"/><Relationship Id="rId12" Type="http://schemas.openxmlformats.org/officeDocument/2006/relationships/hyperlink" Target="https://aaslh.org/getting-in-the-door/" TargetMode="External"/><Relationship Id="rId17" Type="http://schemas.openxmlformats.org/officeDocument/2006/relationships/hyperlink" Target="https://slate.com/technology/2022/07/vintage-asylum-records-found-on-ebay-history-of-disability.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isabilityathome.org/" TargetMode="External"/><Relationship Id="rId20" Type="http://schemas.openxmlformats.org/officeDocument/2006/relationships/hyperlink" Target="https://activisthistory.com/2019/11/04/the-racialized-history-of-disability-activism-from-the-willowbrooks-of-this-world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icole.belolan@rutgers.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gineeringathome.org/" TargetMode="External"/><Relationship Id="rId23" Type="http://schemas.openxmlformats.org/officeDocument/2006/relationships/footer" Target="footer2.xml"/><Relationship Id="rId10" Type="http://schemas.openxmlformats.org/officeDocument/2006/relationships/hyperlink" Target="file:///Users/nicolebelolan/Desktop/bit.ly/NB-AccessCopy" TargetMode="External"/><Relationship Id="rId19" Type="http://schemas.openxmlformats.org/officeDocument/2006/relationships/hyperlink" Target="https://www.youtube.com/watch?v=HbkPstO6hqM&amp;t=632s" TargetMode="External"/><Relationship Id="rId4" Type="http://schemas.openxmlformats.org/officeDocument/2006/relationships/webSettings" Target="webSettings.xml"/><Relationship Id="rId9" Type="http://schemas.openxmlformats.org/officeDocument/2006/relationships/hyperlink" Target="https://disabilityvisibilityproject.com/book/" TargetMode="External"/><Relationship Id="rId14" Type="http://schemas.openxmlformats.org/officeDocument/2006/relationships/hyperlink" Target="https://axesslab.com/alt-text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ssuu.com/hspannualreport2014/docs/legacies_fall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D76D9-DFBF-B34C-83F5-9CD85AA5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Belolan</dc:creator>
  <cp:keywords/>
  <dc:description/>
  <cp:lastModifiedBy>Nicole Belolan</cp:lastModifiedBy>
  <cp:revision>2</cp:revision>
  <dcterms:created xsi:type="dcterms:W3CDTF">2023-01-05T18:00:00Z</dcterms:created>
  <dcterms:modified xsi:type="dcterms:W3CDTF">2023-01-05T18:00:00Z</dcterms:modified>
</cp:coreProperties>
</file>