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31E6" w14:textId="4F80151E" w:rsidR="002E742B" w:rsidRPr="00075A0A" w:rsidRDefault="00CC7D20" w:rsidP="00075A0A">
      <w:pPr>
        <w:pStyle w:val="Heading1"/>
      </w:pPr>
      <w:r>
        <w:t>ACCESSIBILITY LAB</w:t>
      </w:r>
    </w:p>
    <w:p w14:paraId="4678C38F" w14:textId="77777777" w:rsidR="002E742B" w:rsidRDefault="002E742B" w:rsidP="00075A0A">
      <w:pPr>
        <w:pStyle w:val="Heading1"/>
        <w:rPr>
          <w:szCs w:val="28"/>
        </w:rPr>
      </w:pPr>
      <w:r>
        <w:t>Small Museum Association Annual Conference</w:t>
      </w:r>
    </w:p>
    <w:p w14:paraId="56125A10" w14:textId="16C609F5" w:rsidR="00316B9B" w:rsidRPr="006714AD" w:rsidRDefault="002E742B" w:rsidP="002E742B">
      <w:pPr>
        <w:pStyle w:val="Heading1"/>
        <w:spacing w:line="480" w:lineRule="auto"/>
        <w:rPr>
          <w:szCs w:val="28"/>
        </w:rPr>
      </w:pPr>
      <w:r>
        <w:rPr>
          <w:szCs w:val="28"/>
        </w:rPr>
        <w:t>February</w:t>
      </w:r>
      <w:r w:rsidR="00316B9B" w:rsidRPr="006714AD">
        <w:rPr>
          <w:szCs w:val="28"/>
        </w:rPr>
        <w:t xml:space="preserve"> </w:t>
      </w:r>
      <w:r>
        <w:rPr>
          <w:szCs w:val="28"/>
        </w:rPr>
        <w:t>16-18</w:t>
      </w:r>
      <w:r w:rsidR="00316B9B" w:rsidRPr="006714AD">
        <w:rPr>
          <w:szCs w:val="28"/>
        </w:rPr>
        <w:t>, 20</w:t>
      </w:r>
      <w:r>
        <w:rPr>
          <w:szCs w:val="28"/>
        </w:rPr>
        <w:t>20</w:t>
      </w:r>
      <w:r w:rsidR="00316B9B" w:rsidRPr="006714AD">
        <w:rPr>
          <w:szCs w:val="28"/>
        </w:rPr>
        <w:t xml:space="preserve">, </w:t>
      </w:r>
      <w:r>
        <w:rPr>
          <w:szCs w:val="28"/>
        </w:rPr>
        <w:t>College Park, MD</w:t>
      </w:r>
    </w:p>
    <w:p w14:paraId="2C07D31D" w14:textId="45FF5C22" w:rsidR="002E742B" w:rsidRPr="00CC7D20" w:rsidRDefault="00CC7D20" w:rsidP="00CC7D20">
      <w:pPr>
        <w:pStyle w:val="Heading1"/>
      </w:pPr>
      <w:r>
        <w:t>PRESENTER</w:t>
      </w:r>
    </w:p>
    <w:p w14:paraId="6BC7C5D8" w14:textId="77777777" w:rsidR="00075A0A" w:rsidRPr="00075A0A" w:rsidRDefault="00075A0A" w:rsidP="00075A0A"/>
    <w:p w14:paraId="7F4CF40D" w14:textId="55B2ADF2" w:rsidR="00075A0A" w:rsidRDefault="00316B9B" w:rsidP="00CC7D20">
      <w:r w:rsidRPr="006714AD">
        <w:t xml:space="preserve">Nicole Belolan, PhD, is the Public Historian in Residence </w:t>
      </w:r>
      <w:r w:rsidR="00CC7D20">
        <w:t xml:space="preserve">and Acting Director </w:t>
      </w:r>
      <w:r w:rsidRPr="006714AD">
        <w:t xml:space="preserve">at the Mid-Atlantic Regional Center for the Humanities (MARCH) at Rutgers University-Camden. There, she directs a continuing education program in historic preservation that serves avocational historians and professional public historians alike. As part of her position at Rutgers, she is also the Co-Editor of </w:t>
      </w:r>
      <w:r w:rsidRPr="006714AD">
        <w:rPr>
          <w:i/>
          <w:iCs/>
        </w:rPr>
        <w:t>The Public Historian</w:t>
      </w:r>
      <w:r w:rsidRPr="006714AD">
        <w:t xml:space="preserve"> and the Digital Media Editor for the National Council on Public History, a role in which she facilitates sharing ideas about the practice of public history. Nicole lectures and writes regularly on the history of disability and making small museums and historic sites more accessible both physically and programmatically. Nicole serves as the Secretary of the Disability History Association. </w:t>
      </w:r>
    </w:p>
    <w:p w14:paraId="23C079CB" w14:textId="1B58FBE4" w:rsidR="00316B9B" w:rsidRPr="00CC7D20" w:rsidRDefault="00CC7D20" w:rsidP="00CC7D20">
      <w:pPr>
        <w:pStyle w:val="Heading1"/>
      </w:pPr>
      <w:r w:rsidRPr="00CC7D20">
        <w:t>ABSTRACT</w:t>
      </w:r>
    </w:p>
    <w:p w14:paraId="2CE67AB2" w14:textId="77777777" w:rsidR="00CC7D20" w:rsidRPr="00CC7D20" w:rsidRDefault="00CC7D20" w:rsidP="00CC7D20"/>
    <w:p w14:paraId="77DCA277" w14:textId="77777777" w:rsidR="00CC7D20" w:rsidRDefault="002E742B" w:rsidP="00CC7D20">
      <w:r w:rsidRPr="002E742B">
        <w:t xml:space="preserve">Is your small museum serving people with disabilities? Maybe you want to, but you don’t know where to start! This hands-on workshop will introduce simple steps you can take today to make your programming and space more accessible to people with disabilities and their friends and families. This workshop will give participants quick, easy, and virtually free tips and tricks to make everything from social media posts to tours more accessible. Since accessibility is also about providing disability-related content when appropriate, this workshop will also provide participants with a primer on how to interpret the history of </w:t>
      </w:r>
      <w:r w:rsidRPr="002E742B">
        <w:lastRenderedPageBreak/>
        <w:t>disability at their site. In addition, participants will get a quick overview of the history of museums serving people with disabilities within the broader context of the history of disability rights in the US so they know how they fit into the longer history of advocating for and serving people with disabilities.</w:t>
      </w:r>
    </w:p>
    <w:p w14:paraId="677BFECB" w14:textId="77777777" w:rsidR="00CC7D20" w:rsidRDefault="00CC7D20" w:rsidP="00CC7D20"/>
    <w:p w14:paraId="41E4C91F" w14:textId="1D89BA8C" w:rsidR="00316B9B" w:rsidRPr="00CC7D20" w:rsidRDefault="00CC7D20" w:rsidP="00CC7D20">
      <w:pPr>
        <w:pStyle w:val="Heading1"/>
        <w:rPr>
          <w:szCs w:val="24"/>
        </w:rPr>
      </w:pPr>
      <w:r w:rsidRPr="00CC7D20">
        <w:t>TOPICS</w:t>
      </w:r>
      <w:r>
        <w:t xml:space="preserve"> OF DISCUSSION</w:t>
      </w:r>
    </w:p>
    <w:p w14:paraId="4E2C46DD" w14:textId="77777777" w:rsidR="008124AA" w:rsidRPr="006714AD" w:rsidRDefault="008124AA" w:rsidP="008124AA"/>
    <w:p w14:paraId="77134275" w14:textId="299D6753" w:rsidR="00EF6860" w:rsidRPr="008124AA" w:rsidRDefault="00EF6860" w:rsidP="008124AA">
      <w:pPr>
        <w:pStyle w:val="ListParagraph"/>
      </w:pPr>
      <w:r w:rsidRPr="008124AA">
        <w:t>What does accessibility mean to you?</w:t>
      </w:r>
      <w:r w:rsidR="00D17FC7">
        <w:t xml:space="preserve"> 10 min</w:t>
      </w:r>
    </w:p>
    <w:p w14:paraId="0E415BDD" w14:textId="456715DC" w:rsidR="00EF6860" w:rsidRPr="008124AA" w:rsidRDefault="00EF6860" w:rsidP="008124AA">
      <w:pPr>
        <w:pStyle w:val="ListParagraph"/>
      </w:pPr>
      <w:r w:rsidRPr="008124AA">
        <w:t>What is your site doing now for people with disabilities?</w:t>
      </w:r>
      <w:r w:rsidR="00D17FC7">
        <w:t xml:space="preserve"> 10 min</w:t>
      </w:r>
    </w:p>
    <w:p w14:paraId="18448464" w14:textId="1438280A" w:rsidR="00EF6860" w:rsidRPr="008124AA" w:rsidRDefault="00EF6860" w:rsidP="008124AA">
      <w:pPr>
        <w:pStyle w:val="ListParagraph"/>
      </w:pPr>
      <w:r w:rsidRPr="008124AA">
        <w:t>Where are we coming from? Disability in History</w:t>
      </w:r>
      <w:r w:rsidR="00D17FC7">
        <w:t xml:space="preserve"> 20 min</w:t>
      </w:r>
    </w:p>
    <w:p w14:paraId="598F0888" w14:textId="0AE1DCCA" w:rsidR="00EF6860" w:rsidRPr="008124AA" w:rsidRDefault="00EF6860" w:rsidP="008124AA">
      <w:pPr>
        <w:pStyle w:val="ListParagraph"/>
      </w:pPr>
      <w:r w:rsidRPr="008124AA">
        <w:t>What are easy, quick things we can do to make our sites more accessible?</w:t>
      </w:r>
      <w:r w:rsidR="00D17FC7">
        <w:t xml:space="preserve"> 20 min</w:t>
      </w:r>
    </w:p>
    <w:p w14:paraId="75F87E50" w14:textId="3925EF7A" w:rsidR="00EF6860" w:rsidRPr="008124AA" w:rsidRDefault="00B404D3" w:rsidP="008124AA">
      <w:pPr>
        <w:pStyle w:val="ListParagraph"/>
      </w:pPr>
      <w:r w:rsidRPr="008124AA">
        <w:t>Activity</w:t>
      </w:r>
      <w:r w:rsidR="00D17FC7">
        <w:t xml:space="preserve"> 20 min</w:t>
      </w:r>
    </w:p>
    <w:p w14:paraId="4E2AFB4C" w14:textId="18B15248" w:rsidR="00EF6860" w:rsidRPr="008124AA" w:rsidRDefault="00EF6860" w:rsidP="008124AA">
      <w:pPr>
        <w:pStyle w:val="ListParagraph"/>
      </w:pPr>
      <w:r w:rsidRPr="008124AA">
        <w:t xml:space="preserve">Regroup. What are your plans now to make your site more </w:t>
      </w:r>
      <w:r w:rsidR="00BF386D">
        <w:t>accessible and inclusive</w:t>
      </w:r>
      <w:r w:rsidRPr="008124AA">
        <w:t xml:space="preserve"> next week? Next month? Next year?</w:t>
      </w:r>
      <w:r w:rsidR="00D17FC7">
        <w:t xml:space="preserve"> 10 min</w:t>
      </w:r>
    </w:p>
    <w:p w14:paraId="3B6C847C" w14:textId="679584F3" w:rsidR="00697326" w:rsidRPr="00697326" w:rsidRDefault="00B404D3" w:rsidP="00697326">
      <w:pPr>
        <w:rPr>
          <w:sz w:val="28"/>
          <w:szCs w:val="28"/>
          <w:u w:val="single"/>
        </w:rPr>
      </w:pPr>
      <w:r>
        <w:rPr>
          <w:sz w:val="28"/>
          <w:szCs w:val="28"/>
          <w:u w:val="single"/>
        </w:rPr>
        <w:br w:type="page"/>
      </w:r>
    </w:p>
    <w:p w14:paraId="0EEA21F2" w14:textId="77777777" w:rsidR="00D55E77" w:rsidRDefault="00697326" w:rsidP="00DC263A">
      <w:pPr>
        <w:jc w:val="center"/>
        <w:rPr>
          <w:rFonts w:cs="Times New Roman (Headings CS)"/>
          <w:caps/>
        </w:rPr>
      </w:pPr>
      <w:r w:rsidRPr="00CC7D20">
        <w:rPr>
          <w:rFonts w:cs="Times New Roman (Headings CS)"/>
          <w:caps/>
        </w:rPr>
        <w:lastRenderedPageBreak/>
        <w:t xml:space="preserve">Selected Readings and </w:t>
      </w:r>
      <w:r w:rsidR="0087065F" w:rsidRPr="00CC7D20">
        <w:rPr>
          <w:rFonts w:cs="Times New Roman (Headings CS)"/>
          <w:caps/>
        </w:rPr>
        <w:t>Resources</w:t>
      </w:r>
      <w:r w:rsidR="00D55E77">
        <w:rPr>
          <w:rFonts w:cs="Times New Roman (Headings CS)"/>
          <w:caps/>
        </w:rPr>
        <w:t xml:space="preserve"> compiled </w:t>
      </w:r>
    </w:p>
    <w:p w14:paraId="2CCE6BD2" w14:textId="2C107876" w:rsidR="0087065F" w:rsidRPr="00DC263A" w:rsidRDefault="00D55E77" w:rsidP="00DC263A">
      <w:pPr>
        <w:jc w:val="center"/>
        <w:rPr>
          <w:rFonts w:eastAsiaTheme="majorEastAsia" w:cstheme="majorBidi"/>
          <w:color w:val="000000" w:themeColor="text1"/>
          <w:szCs w:val="32"/>
        </w:rPr>
      </w:pPr>
      <w:r>
        <w:rPr>
          <w:rFonts w:cs="Times New Roman (Headings CS)"/>
          <w:caps/>
        </w:rPr>
        <w:t>by nicole belolan</w:t>
      </w:r>
    </w:p>
    <w:p w14:paraId="3E7045A6" w14:textId="77777777" w:rsidR="0087065F" w:rsidRPr="00AB7CEA" w:rsidRDefault="0087065F" w:rsidP="0087065F">
      <w:pPr>
        <w:rPr>
          <w:szCs w:val="32"/>
        </w:rPr>
      </w:pPr>
    </w:p>
    <w:p w14:paraId="742CCE70" w14:textId="77777777" w:rsidR="0087065F" w:rsidRPr="00A60A01" w:rsidRDefault="0087065F" w:rsidP="0087065F">
      <w:r>
        <w:t xml:space="preserve">ADA National Network, </w:t>
      </w:r>
      <w:hyperlink r:id="rId8" w:history="1">
        <w:r w:rsidRPr="00776C9C">
          <w:rPr>
            <w:rStyle w:val="Hyperlink"/>
          </w:rPr>
          <w:t>https://adata.org</w:t>
        </w:r>
      </w:hyperlink>
      <w:r>
        <w:t xml:space="preserve">. </w:t>
      </w:r>
    </w:p>
    <w:p w14:paraId="75F8966C" w14:textId="77777777" w:rsidR="0087065F" w:rsidRDefault="0087065F" w:rsidP="0087065F">
      <w:pPr>
        <w:rPr>
          <w:i/>
          <w:iCs/>
        </w:rPr>
      </w:pPr>
    </w:p>
    <w:p w14:paraId="5CAF9143" w14:textId="77777777" w:rsidR="0087065F" w:rsidRPr="00AB7CEA" w:rsidRDefault="0087065F" w:rsidP="0087065F">
      <w:r w:rsidRPr="00AB7CEA">
        <w:rPr>
          <w:i/>
          <w:iCs/>
        </w:rPr>
        <w:t>All of Us</w:t>
      </w:r>
      <w:r w:rsidRPr="00AB7CEA">
        <w:t xml:space="preserve">, Disability History Association blog, 2019-present, </w:t>
      </w:r>
      <w:hyperlink r:id="rId9" w:history="1">
        <w:r w:rsidRPr="00AB7CEA">
          <w:rPr>
            <w:rStyle w:val="Hyperlink"/>
            <w:szCs w:val="32"/>
          </w:rPr>
          <w:t>http://allofusdha.org</w:t>
        </w:r>
      </w:hyperlink>
      <w:r w:rsidRPr="00AB7CEA">
        <w:t xml:space="preserve">. </w:t>
      </w:r>
    </w:p>
    <w:p w14:paraId="5664A40F" w14:textId="77777777" w:rsidR="0087065F" w:rsidRPr="00AB7CEA" w:rsidRDefault="0087065F" w:rsidP="0087065F">
      <w:pPr>
        <w:rPr>
          <w:szCs w:val="32"/>
        </w:rPr>
      </w:pPr>
    </w:p>
    <w:p w14:paraId="6DF6C2CA" w14:textId="77777777" w:rsidR="0087065F" w:rsidRPr="00A60A01" w:rsidRDefault="0087065F" w:rsidP="0087065F">
      <w:pPr>
        <w:rPr>
          <w:szCs w:val="32"/>
        </w:rPr>
      </w:pPr>
      <w:r>
        <w:rPr>
          <w:szCs w:val="32"/>
        </w:rPr>
        <w:t xml:space="preserve">Art-Reach, </w:t>
      </w:r>
      <w:hyperlink r:id="rId10" w:history="1">
        <w:r w:rsidRPr="00776C9C">
          <w:rPr>
            <w:rStyle w:val="Hyperlink"/>
            <w:szCs w:val="32"/>
          </w:rPr>
          <w:t>https://www.art-reach.org</w:t>
        </w:r>
      </w:hyperlink>
      <w:r>
        <w:rPr>
          <w:szCs w:val="32"/>
        </w:rPr>
        <w:t xml:space="preserve">. </w:t>
      </w:r>
    </w:p>
    <w:p w14:paraId="2E9BBC71" w14:textId="77777777" w:rsidR="0087065F" w:rsidRDefault="0087065F" w:rsidP="0087065F">
      <w:pPr>
        <w:rPr>
          <w:i/>
          <w:iCs/>
          <w:szCs w:val="32"/>
        </w:rPr>
      </w:pPr>
    </w:p>
    <w:p w14:paraId="2798F4AC" w14:textId="77777777" w:rsidR="0087065F" w:rsidRPr="00AB7CEA" w:rsidRDefault="0087065F" w:rsidP="0087065F">
      <w:pPr>
        <w:rPr>
          <w:szCs w:val="32"/>
        </w:rPr>
      </w:pPr>
      <w:r w:rsidRPr="00AB7CEA">
        <w:rPr>
          <w:i/>
          <w:iCs/>
          <w:szCs w:val="32"/>
        </w:rPr>
        <w:t>The Public Historian: Disability and the Practice of Public History</w:t>
      </w:r>
      <w:r w:rsidRPr="00AB7CEA">
        <w:rPr>
          <w:szCs w:val="32"/>
        </w:rPr>
        <w:t>, Vol. 27, no. 2 (Spring 2005), </w:t>
      </w:r>
      <w:hyperlink r:id="rId11" w:history="1">
        <w:r w:rsidRPr="00AB7CEA">
          <w:rPr>
            <w:rStyle w:val="Hyperlink"/>
            <w:szCs w:val="32"/>
          </w:rPr>
          <w:t>http://tph.ucpress.edu/content/27/2</w:t>
        </w:r>
      </w:hyperlink>
      <w:r w:rsidRPr="00AB7CEA">
        <w:rPr>
          <w:szCs w:val="32"/>
        </w:rPr>
        <w:t>.</w:t>
      </w:r>
    </w:p>
    <w:p w14:paraId="31EF381C" w14:textId="77777777" w:rsidR="0087065F" w:rsidRPr="00AB7CEA" w:rsidRDefault="0087065F" w:rsidP="0087065F">
      <w:pPr>
        <w:rPr>
          <w:szCs w:val="32"/>
        </w:rPr>
      </w:pPr>
    </w:p>
    <w:p w14:paraId="41486AE8" w14:textId="77777777" w:rsidR="0087065F" w:rsidRPr="00AB7CEA" w:rsidRDefault="0087065F" w:rsidP="0087065F">
      <w:pPr>
        <w:rPr>
          <w:szCs w:val="32"/>
        </w:rPr>
      </w:pPr>
      <w:r w:rsidRPr="00AB7CEA">
        <w:rPr>
          <w:szCs w:val="32"/>
        </w:rPr>
        <w:t xml:space="preserve">“Making Public History Accessible: Exploring Best Practices for Disability Access – 2016 Working Group,” National Council on Public History, </w:t>
      </w:r>
      <w:hyperlink r:id="rId12" w:history="1">
        <w:r w:rsidRPr="00AB7CEA">
          <w:rPr>
            <w:rStyle w:val="Hyperlink"/>
            <w:szCs w:val="32"/>
          </w:rPr>
          <w:t>https://ncph.org/phc/ncph-working-groups/making-public-history-accessible-2016-working-group/</w:t>
        </w:r>
      </w:hyperlink>
      <w:r w:rsidRPr="00AB7CEA">
        <w:rPr>
          <w:szCs w:val="32"/>
        </w:rPr>
        <w:t>.</w:t>
      </w:r>
    </w:p>
    <w:p w14:paraId="123A0CDE" w14:textId="77777777" w:rsidR="0087065F" w:rsidRPr="00AB7CEA" w:rsidRDefault="0087065F" w:rsidP="0087065F">
      <w:pPr>
        <w:rPr>
          <w:szCs w:val="32"/>
        </w:rPr>
      </w:pPr>
    </w:p>
    <w:p w14:paraId="580C582B" w14:textId="77777777" w:rsidR="0087065F" w:rsidRPr="00AB7CEA" w:rsidRDefault="0087065F" w:rsidP="0087065F">
      <w:pPr>
        <w:rPr>
          <w:szCs w:val="32"/>
        </w:rPr>
      </w:pPr>
      <w:r w:rsidRPr="00AB7CEA">
        <w:rPr>
          <w:szCs w:val="32"/>
        </w:rPr>
        <w:t xml:space="preserve">Nicole </w:t>
      </w:r>
      <w:proofErr w:type="spellStart"/>
      <w:r w:rsidRPr="00AB7CEA">
        <w:rPr>
          <w:szCs w:val="32"/>
        </w:rPr>
        <w:t>Belolan</w:t>
      </w:r>
      <w:proofErr w:type="spellEnd"/>
      <w:r w:rsidRPr="00AB7CEA">
        <w:rPr>
          <w:szCs w:val="32"/>
        </w:rPr>
        <w:t>, “An ‘effort to bring this little handicapped army in personal touch with beauty’: Democratizing Art for Crippled Children at The Metropolitan Museum of Art, 1919-1934,” </w:t>
      </w:r>
      <w:r w:rsidRPr="00AB7CEA">
        <w:rPr>
          <w:i/>
          <w:iCs/>
          <w:szCs w:val="32"/>
        </w:rPr>
        <w:t>New York History</w:t>
      </w:r>
      <w:r w:rsidRPr="00AB7CEA">
        <w:rPr>
          <w:szCs w:val="32"/>
        </w:rPr>
        <w:t> 96, 1 (Winter 2015): 38-66, </w:t>
      </w:r>
      <w:hyperlink r:id="rId13" w:history="1">
        <w:r w:rsidRPr="00AB7CEA">
          <w:rPr>
            <w:rStyle w:val="Hyperlink"/>
            <w:szCs w:val="32"/>
          </w:rPr>
          <w:t>10.1353/nyh.2015.0012</w:t>
        </w:r>
      </w:hyperlink>
      <w:r w:rsidRPr="00AB7CEA">
        <w:rPr>
          <w:szCs w:val="32"/>
        </w:rPr>
        <w:t xml:space="preserve">. </w:t>
      </w:r>
    </w:p>
    <w:p w14:paraId="6C9F5A50" w14:textId="77777777" w:rsidR="0087065F" w:rsidRPr="00AB7CEA" w:rsidRDefault="0087065F" w:rsidP="0087065F">
      <w:pPr>
        <w:rPr>
          <w:szCs w:val="32"/>
        </w:rPr>
      </w:pPr>
    </w:p>
    <w:p w14:paraId="38589018" w14:textId="77777777" w:rsidR="0087065F" w:rsidRPr="00AB7CEA" w:rsidRDefault="0087065F" w:rsidP="0087065F">
      <w:pPr>
        <w:rPr>
          <w:szCs w:val="32"/>
        </w:rPr>
      </w:pPr>
      <w:r w:rsidRPr="00AB7CEA">
        <w:rPr>
          <w:szCs w:val="32"/>
        </w:rPr>
        <w:t xml:space="preserve">Nicole </w:t>
      </w:r>
      <w:proofErr w:type="spellStart"/>
      <w:r w:rsidRPr="00AB7CEA">
        <w:rPr>
          <w:szCs w:val="32"/>
        </w:rPr>
        <w:t>Belolan</w:t>
      </w:r>
      <w:proofErr w:type="spellEnd"/>
      <w:r w:rsidRPr="00AB7CEA">
        <w:rPr>
          <w:szCs w:val="32"/>
        </w:rPr>
        <w:t>, “‘Confined to Crutches’: James Logan and the Material Culture of Disability in Early America,” </w:t>
      </w:r>
      <w:hyperlink r:id="rId14" w:history="1">
        <w:r w:rsidRPr="00AB7CEA">
          <w:rPr>
            <w:rStyle w:val="Hyperlink"/>
            <w:i/>
            <w:iCs/>
            <w:szCs w:val="32"/>
          </w:rPr>
          <w:t>Pennsylvania Legacies</w:t>
        </w:r>
      </w:hyperlink>
      <w:r w:rsidRPr="00AB7CEA">
        <w:rPr>
          <w:szCs w:val="32"/>
        </w:rPr>
        <w:t>, Vol. 17, No. 2 (Fall 2017): 6-11.</w:t>
      </w:r>
    </w:p>
    <w:p w14:paraId="389CCB40" w14:textId="77777777" w:rsidR="0087065F" w:rsidRPr="00AB7CEA" w:rsidRDefault="0087065F" w:rsidP="0087065F">
      <w:pPr>
        <w:rPr>
          <w:szCs w:val="32"/>
        </w:rPr>
      </w:pPr>
    </w:p>
    <w:p w14:paraId="722E2A9E" w14:textId="77777777" w:rsidR="0087065F" w:rsidRDefault="0087065F" w:rsidP="0087065F">
      <w:pPr>
        <w:rPr>
          <w:szCs w:val="32"/>
        </w:rPr>
      </w:pPr>
      <w:r>
        <w:rPr>
          <w:szCs w:val="32"/>
        </w:rPr>
        <w:t xml:space="preserve">Nicole </w:t>
      </w:r>
      <w:proofErr w:type="spellStart"/>
      <w:r>
        <w:rPr>
          <w:szCs w:val="32"/>
        </w:rPr>
        <w:t>Belolan</w:t>
      </w:r>
      <w:proofErr w:type="spellEnd"/>
      <w:r>
        <w:rPr>
          <w:szCs w:val="32"/>
        </w:rPr>
        <w:t xml:space="preserve">, </w:t>
      </w:r>
      <w:r w:rsidRPr="004B204A">
        <w:rPr>
          <w:szCs w:val="32"/>
        </w:rPr>
        <w:t>“</w:t>
      </w:r>
      <w:r>
        <w:rPr>
          <w:szCs w:val="32"/>
        </w:rPr>
        <w:t xml:space="preserve">The Material Culture of Gout </w:t>
      </w:r>
      <w:r w:rsidRPr="004B204A">
        <w:rPr>
          <w:szCs w:val="32"/>
        </w:rPr>
        <w:t>in Early America,” in Elizabeth Guffey and Bess Williamson, eds., Making Disability Modern: Design Histories (Bloomsbury, 2020) (forthcoming).</w:t>
      </w:r>
    </w:p>
    <w:p w14:paraId="7025DD77" w14:textId="77777777" w:rsidR="0087065F" w:rsidRDefault="0087065F" w:rsidP="0087065F">
      <w:pPr>
        <w:rPr>
          <w:szCs w:val="32"/>
        </w:rPr>
      </w:pPr>
    </w:p>
    <w:p w14:paraId="77AE17FC" w14:textId="77777777" w:rsidR="0087065F" w:rsidRPr="00AB7CEA" w:rsidRDefault="0087065F" w:rsidP="0087065F">
      <w:pPr>
        <w:rPr>
          <w:szCs w:val="32"/>
        </w:rPr>
      </w:pPr>
      <w:r w:rsidRPr="00AB7CEA">
        <w:rPr>
          <w:szCs w:val="32"/>
        </w:rPr>
        <w:t xml:space="preserve">Nicole </w:t>
      </w:r>
      <w:proofErr w:type="spellStart"/>
      <w:r w:rsidRPr="00AB7CEA">
        <w:rPr>
          <w:szCs w:val="32"/>
        </w:rPr>
        <w:t>Belolan</w:t>
      </w:r>
      <w:proofErr w:type="spellEnd"/>
      <w:r w:rsidRPr="00AB7CEA">
        <w:rPr>
          <w:szCs w:val="32"/>
        </w:rPr>
        <w:t>,</w:t>
      </w:r>
      <w:r w:rsidRPr="00AB7CEA">
        <w:rPr>
          <w:rFonts w:ascii="Helvetica Neue" w:eastAsia="Times New Roman" w:hAnsi="Helvetica Neue" w:cs="Times New Roman"/>
          <w:color w:val="333333"/>
          <w:szCs w:val="32"/>
          <w:shd w:val="clear" w:color="auto" w:fill="FFFFFF"/>
        </w:rPr>
        <w:t xml:space="preserve"> </w:t>
      </w:r>
      <w:r w:rsidRPr="00AB7CEA">
        <w:rPr>
          <w:szCs w:val="32"/>
        </w:rPr>
        <w:t>“We Will All be Phony Colonies,” </w:t>
      </w:r>
      <w:r w:rsidRPr="00AB7CEA">
        <w:rPr>
          <w:i/>
          <w:iCs/>
          <w:szCs w:val="32"/>
        </w:rPr>
        <w:t>ALHFAM Bulletin</w:t>
      </w:r>
      <w:r w:rsidRPr="00AB7CEA">
        <w:rPr>
          <w:szCs w:val="32"/>
        </w:rPr>
        <w:t> XLV, No. 4 (Winter 2016): 25-27.</w:t>
      </w:r>
    </w:p>
    <w:p w14:paraId="6CDB2531" w14:textId="77777777" w:rsidR="0087065F" w:rsidRPr="00AB7CEA" w:rsidRDefault="0087065F" w:rsidP="0087065F">
      <w:pPr>
        <w:rPr>
          <w:szCs w:val="32"/>
        </w:rPr>
      </w:pPr>
    </w:p>
    <w:p w14:paraId="2E2EB260" w14:textId="77777777" w:rsidR="0087065F" w:rsidRPr="00AB7CEA" w:rsidRDefault="0087065F" w:rsidP="0087065F">
      <w:pPr>
        <w:rPr>
          <w:szCs w:val="32"/>
        </w:rPr>
      </w:pPr>
      <w:r w:rsidRPr="00AB7CEA">
        <w:rPr>
          <w:szCs w:val="32"/>
        </w:rPr>
        <w:lastRenderedPageBreak/>
        <w:t xml:space="preserve">Disability History Association, “Public Disability History” (resources), Accessed </w:t>
      </w:r>
      <w:r>
        <w:rPr>
          <w:szCs w:val="32"/>
        </w:rPr>
        <w:t>February 14</w:t>
      </w:r>
      <w:r w:rsidRPr="00AB7CEA">
        <w:rPr>
          <w:szCs w:val="32"/>
        </w:rPr>
        <w:t xml:space="preserve"> 2019, </w:t>
      </w:r>
      <w:hyperlink r:id="rId15" w:history="1">
        <w:r w:rsidRPr="00AB7CEA">
          <w:rPr>
            <w:rStyle w:val="Hyperlink"/>
            <w:szCs w:val="32"/>
          </w:rPr>
          <w:t>http://dishist.org/?page_id=1104</w:t>
        </w:r>
      </w:hyperlink>
      <w:r w:rsidRPr="00AB7CEA">
        <w:rPr>
          <w:szCs w:val="32"/>
        </w:rPr>
        <w:t xml:space="preserve">. </w:t>
      </w:r>
    </w:p>
    <w:p w14:paraId="507DE42A" w14:textId="77777777" w:rsidR="0087065F" w:rsidRPr="00AB7CEA" w:rsidRDefault="0087065F" w:rsidP="0087065F">
      <w:pPr>
        <w:rPr>
          <w:szCs w:val="32"/>
        </w:rPr>
      </w:pPr>
    </w:p>
    <w:p w14:paraId="08A7108E" w14:textId="77777777" w:rsidR="0087065F" w:rsidRPr="00AB7CEA" w:rsidRDefault="0087065F" w:rsidP="0087065F">
      <w:pPr>
        <w:rPr>
          <w:szCs w:val="32"/>
        </w:rPr>
      </w:pPr>
      <w:proofErr w:type="spellStart"/>
      <w:r w:rsidRPr="00AB7CEA">
        <w:rPr>
          <w:szCs w:val="32"/>
        </w:rPr>
        <w:t>Alima</w:t>
      </w:r>
      <w:proofErr w:type="spellEnd"/>
      <w:r w:rsidRPr="00AB7CEA">
        <w:rPr>
          <w:szCs w:val="32"/>
        </w:rPr>
        <w:t xml:space="preserve"> </w:t>
      </w:r>
      <w:proofErr w:type="spellStart"/>
      <w:r w:rsidRPr="00AB7CEA">
        <w:rPr>
          <w:szCs w:val="32"/>
        </w:rPr>
        <w:t>Bucciantini</w:t>
      </w:r>
      <w:proofErr w:type="spellEnd"/>
      <w:r w:rsidRPr="00AB7CEA">
        <w:rPr>
          <w:szCs w:val="32"/>
        </w:rPr>
        <w:t>, “Getting in the Door is the Battle,” </w:t>
      </w:r>
      <w:r w:rsidRPr="00AB7CEA">
        <w:rPr>
          <w:i/>
          <w:iCs/>
          <w:szCs w:val="32"/>
        </w:rPr>
        <w:t>AASLH Blog, American Association for State and Local History</w:t>
      </w:r>
      <w:r w:rsidRPr="00AB7CEA">
        <w:rPr>
          <w:szCs w:val="32"/>
        </w:rPr>
        <w:t>, January 22, 2019,  </w:t>
      </w:r>
      <w:r w:rsidRPr="00AB7CEA">
        <w:rPr>
          <w:szCs w:val="32"/>
        </w:rPr>
        <w:br/>
      </w:r>
      <w:hyperlink r:id="rId16" w:history="1">
        <w:r w:rsidRPr="00AB7CEA">
          <w:rPr>
            <w:rStyle w:val="Hyperlink"/>
            <w:szCs w:val="32"/>
          </w:rPr>
          <w:t>https://aaslh.org/getting-in-the-door/</w:t>
        </w:r>
      </w:hyperlink>
      <w:r w:rsidRPr="00AB7CEA">
        <w:rPr>
          <w:szCs w:val="32"/>
        </w:rPr>
        <w:t xml:space="preserve">. </w:t>
      </w:r>
    </w:p>
    <w:p w14:paraId="0C32BD47" w14:textId="77777777" w:rsidR="0087065F" w:rsidRPr="00AB7CEA" w:rsidRDefault="0087065F" w:rsidP="0087065F">
      <w:pPr>
        <w:rPr>
          <w:szCs w:val="32"/>
        </w:rPr>
      </w:pPr>
    </w:p>
    <w:p w14:paraId="11940E49" w14:textId="77777777" w:rsidR="0087065F" w:rsidRPr="00AB7CEA" w:rsidRDefault="0087065F" w:rsidP="0087065F">
      <w:pPr>
        <w:rPr>
          <w:szCs w:val="32"/>
        </w:rPr>
      </w:pPr>
      <w:r w:rsidRPr="00AB7CEA">
        <w:rPr>
          <w:szCs w:val="32"/>
        </w:rPr>
        <w:t xml:space="preserve">Susan Burch and Hannah Joyner, </w:t>
      </w:r>
      <w:r w:rsidRPr="00AB7CEA">
        <w:rPr>
          <w:i/>
          <w:iCs/>
          <w:szCs w:val="32"/>
        </w:rPr>
        <w:t>Unspeakable: The Story of Junius Wilson</w:t>
      </w:r>
      <w:r w:rsidRPr="00AB7CEA">
        <w:rPr>
          <w:szCs w:val="32"/>
        </w:rPr>
        <w:t xml:space="preserve"> (Chapel Hill: University of North Carolina Press, 2007).</w:t>
      </w:r>
    </w:p>
    <w:p w14:paraId="77F4B08D" w14:textId="77777777" w:rsidR="0087065F" w:rsidRPr="00AB7CEA" w:rsidRDefault="0087065F" w:rsidP="0087065F">
      <w:pPr>
        <w:rPr>
          <w:szCs w:val="32"/>
        </w:rPr>
      </w:pPr>
    </w:p>
    <w:p w14:paraId="01260D9C" w14:textId="77777777" w:rsidR="0087065F" w:rsidRPr="00AB7CEA" w:rsidRDefault="0087065F" w:rsidP="0087065F">
      <w:pPr>
        <w:rPr>
          <w:szCs w:val="32"/>
        </w:rPr>
      </w:pPr>
      <w:r w:rsidRPr="00AB7CEA">
        <w:rPr>
          <w:szCs w:val="32"/>
        </w:rPr>
        <w:t xml:space="preserve">Sara Dean, Review: </w:t>
      </w:r>
      <w:r w:rsidRPr="00AB7CEA">
        <w:rPr>
          <w:i/>
          <w:iCs/>
          <w:szCs w:val="32"/>
        </w:rPr>
        <w:t>Touch This Page</w:t>
      </w:r>
      <w:r>
        <w:rPr>
          <w:i/>
          <w:iCs/>
          <w:szCs w:val="32"/>
        </w:rPr>
        <w:t>! Making Sense of the Ways We Read</w:t>
      </w:r>
      <w:r w:rsidRPr="00AB7CEA">
        <w:rPr>
          <w:szCs w:val="32"/>
        </w:rPr>
        <w:t xml:space="preserve">, </w:t>
      </w:r>
      <w:r w:rsidRPr="00AB7CEA">
        <w:rPr>
          <w:i/>
          <w:iCs/>
          <w:szCs w:val="32"/>
        </w:rPr>
        <w:t>The Public Historian</w:t>
      </w:r>
      <w:r>
        <w:rPr>
          <w:szCs w:val="32"/>
        </w:rPr>
        <w:t xml:space="preserve"> 41</w:t>
      </w:r>
      <w:r w:rsidRPr="00AB7CEA">
        <w:rPr>
          <w:szCs w:val="32"/>
        </w:rPr>
        <w:t>,</w:t>
      </w:r>
      <w:r>
        <w:rPr>
          <w:szCs w:val="32"/>
        </w:rPr>
        <w:t xml:space="preserve"> no. 4 (November 2019): 115-121,</w:t>
      </w:r>
      <w:r w:rsidRPr="00AB7CEA">
        <w:rPr>
          <w:szCs w:val="32"/>
        </w:rPr>
        <w:t xml:space="preserve"> </w:t>
      </w:r>
      <w:hyperlink r:id="rId17" w:history="1">
        <w:r w:rsidRPr="00AB7CEA">
          <w:rPr>
            <w:rStyle w:val="Hyperlink"/>
            <w:szCs w:val="32"/>
          </w:rPr>
          <w:t>https://tph.ucpress.edu</w:t>
        </w:r>
      </w:hyperlink>
      <w:r w:rsidRPr="00AB7CEA">
        <w:rPr>
          <w:szCs w:val="32"/>
        </w:rPr>
        <w:t xml:space="preserve">. </w:t>
      </w:r>
    </w:p>
    <w:p w14:paraId="2BE4BADE" w14:textId="77777777" w:rsidR="0087065F" w:rsidRPr="00AB7CEA" w:rsidRDefault="0087065F" w:rsidP="0087065F">
      <w:pPr>
        <w:rPr>
          <w:szCs w:val="32"/>
        </w:rPr>
      </w:pPr>
    </w:p>
    <w:p w14:paraId="00E19C0A" w14:textId="77777777" w:rsidR="0087065F" w:rsidRPr="00AB7CEA" w:rsidRDefault="0087065F" w:rsidP="0087065F">
      <w:pPr>
        <w:rPr>
          <w:szCs w:val="32"/>
        </w:rPr>
      </w:pPr>
      <w:r w:rsidRPr="00AB7CEA">
        <w:rPr>
          <w:szCs w:val="32"/>
        </w:rPr>
        <w:t xml:space="preserve">Cynthia G. Falk, “Accessibility,” The Inclusive Historian’s Handbook (National Council on Public History and American Association of State and Local History), April 1, 2019, </w:t>
      </w:r>
      <w:hyperlink r:id="rId18" w:history="1">
        <w:r w:rsidRPr="00AB7CEA">
          <w:rPr>
            <w:rStyle w:val="Hyperlink"/>
            <w:szCs w:val="32"/>
          </w:rPr>
          <w:t>https://inclusivehistorian.com/accessibility/</w:t>
        </w:r>
      </w:hyperlink>
      <w:r w:rsidRPr="00AB7CEA">
        <w:rPr>
          <w:szCs w:val="32"/>
        </w:rPr>
        <w:t xml:space="preserve">. </w:t>
      </w:r>
    </w:p>
    <w:p w14:paraId="6A2BCBE3" w14:textId="77777777" w:rsidR="0087065F" w:rsidRPr="00AB7CEA" w:rsidRDefault="0087065F" w:rsidP="0087065F">
      <w:pPr>
        <w:rPr>
          <w:szCs w:val="32"/>
        </w:rPr>
      </w:pPr>
    </w:p>
    <w:p w14:paraId="2D39B805" w14:textId="77777777" w:rsidR="0087065F" w:rsidRPr="00AB7CEA" w:rsidRDefault="0087065F" w:rsidP="0087065F">
      <w:pPr>
        <w:rPr>
          <w:szCs w:val="32"/>
        </w:rPr>
      </w:pPr>
      <w:r w:rsidRPr="00AB7CEA">
        <w:rPr>
          <w:szCs w:val="32"/>
        </w:rPr>
        <w:t xml:space="preserve">Elizabeth Guffey, “The Disabling Art Museum,” </w:t>
      </w:r>
      <w:r w:rsidRPr="00AB7CEA">
        <w:rPr>
          <w:i/>
          <w:iCs/>
          <w:szCs w:val="32"/>
        </w:rPr>
        <w:t>journal of visual culture</w:t>
      </w:r>
      <w:r w:rsidRPr="00AB7CEA">
        <w:rPr>
          <w:szCs w:val="32"/>
        </w:rPr>
        <w:t xml:space="preserve"> 14 no. 1: 61-73 (April 2015), </w:t>
      </w:r>
      <w:hyperlink r:id="rId19" w:history="1">
        <w:r w:rsidRPr="00AB7CEA">
          <w:rPr>
            <w:rStyle w:val="Hyperlink"/>
            <w:szCs w:val="32"/>
          </w:rPr>
          <w:t>https://doi.org/10.1177%2F1470412914565965</w:t>
        </w:r>
      </w:hyperlink>
      <w:r w:rsidRPr="00AB7CEA">
        <w:rPr>
          <w:szCs w:val="32"/>
        </w:rPr>
        <w:t xml:space="preserve">. </w:t>
      </w:r>
    </w:p>
    <w:p w14:paraId="1A555868" w14:textId="77777777" w:rsidR="0087065F" w:rsidRPr="00AB7CEA" w:rsidRDefault="0087065F" w:rsidP="0087065F">
      <w:pPr>
        <w:rPr>
          <w:szCs w:val="32"/>
        </w:rPr>
      </w:pPr>
    </w:p>
    <w:p w14:paraId="282B259E" w14:textId="1B8F4187" w:rsidR="00CC7D20" w:rsidRDefault="0087065F" w:rsidP="0087065F">
      <w:pPr>
        <w:rPr>
          <w:szCs w:val="32"/>
        </w:rPr>
      </w:pPr>
      <w:r w:rsidRPr="00AB7CEA">
        <w:rPr>
          <w:szCs w:val="32"/>
        </w:rPr>
        <w:t xml:space="preserve">Stacia P. Hanscom, Review: </w:t>
      </w:r>
      <w:r w:rsidRPr="00AB7CEA">
        <w:rPr>
          <w:i/>
          <w:iCs/>
          <w:szCs w:val="32"/>
        </w:rPr>
        <w:t>Access Salem: For Those with Disabilities</w:t>
      </w:r>
      <w:r w:rsidRPr="00AB7CEA">
        <w:rPr>
          <w:szCs w:val="32"/>
        </w:rPr>
        <w:t xml:space="preserve">, in </w:t>
      </w:r>
      <w:r w:rsidRPr="00AB7CEA">
        <w:rPr>
          <w:i/>
          <w:iCs/>
          <w:szCs w:val="32"/>
        </w:rPr>
        <w:t>The Public Historian</w:t>
      </w:r>
      <w:r w:rsidRPr="00AB7CEA">
        <w:rPr>
          <w:szCs w:val="32"/>
        </w:rPr>
        <w:t xml:space="preserve"> 41, no. 3 (August 2019)</w:t>
      </w:r>
      <w:r>
        <w:rPr>
          <w:szCs w:val="32"/>
        </w:rPr>
        <w:t>: 138-145,</w:t>
      </w:r>
      <w:r w:rsidRPr="00AB7CEA">
        <w:rPr>
          <w:szCs w:val="32"/>
        </w:rPr>
        <w:t xml:space="preserve"> </w:t>
      </w:r>
      <w:hyperlink r:id="rId20" w:history="1">
        <w:r w:rsidRPr="00AB7CEA">
          <w:rPr>
            <w:rStyle w:val="Hyperlink"/>
            <w:szCs w:val="32"/>
          </w:rPr>
          <w:t>https://tph.ucpress.edu/content/41/3/138</w:t>
        </w:r>
      </w:hyperlink>
      <w:r w:rsidRPr="00AB7CEA">
        <w:rPr>
          <w:szCs w:val="32"/>
        </w:rPr>
        <w:t xml:space="preserve">. </w:t>
      </w:r>
    </w:p>
    <w:p w14:paraId="61D19C4D" w14:textId="77777777" w:rsidR="00CC7D20" w:rsidRDefault="00CC7D20" w:rsidP="0087065F">
      <w:pPr>
        <w:rPr>
          <w:szCs w:val="32"/>
        </w:rPr>
      </w:pPr>
    </w:p>
    <w:p w14:paraId="50A61F8C" w14:textId="7D14F5EB" w:rsidR="0087065F" w:rsidRPr="00AB7CEA" w:rsidRDefault="0087065F" w:rsidP="0087065F">
      <w:pPr>
        <w:rPr>
          <w:szCs w:val="32"/>
        </w:rPr>
      </w:pPr>
      <w:r w:rsidRPr="00AB7CEA">
        <w:rPr>
          <w:szCs w:val="32"/>
        </w:rPr>
        <w:t xml:space="preserve">Therese-Adèle </w:t>
      </w:r>
      <w:proofErr w:type="spellStart"/>
      <w:r w:rsidRPr="00AB7CEA">
        <w:rPr>
          <w:szCs w:val="32"/>
        </w:rPr>
        <w:t>Husson</w:t>
      </w:r>
      <w:proofErr w:type="spellEnd"/>
      <w:r w:rsidRPr="00AB7CEA">
        <w:rPr>
          <w:szCs w:val="32"/>
        </w:rPr>
        <w:t xml:space="preserve">, </w:t>
      </w:r>
      <w:r w:rsidRPr="00AB7CEA">
        <w:rPr>
          <w:i/>
          <w:iCs/>
          <w:szCs w:val="32"/>
        </w:rPr>
        <w:t>Reflections: The Life and Writings of a Young Blind Woman in Post-Revolutionary France</w:t>
      </w:r>
      <w:r w:rsidRPr="00AB7CEA">
        <w:rPr>
          <w:szCs w:val="32"/>
        </w:rPr>
        <w:t xml:space="preserve"> ed. Catherine J. </w:t>
      </w:r>
      <w:proofErr w:type="spellStart"/>
      <w:r w:rsidRPr="00AB7CEA">
        <w:rPr>
          <w:szCs w:val="32"/>
        </w:rPr>
        <w:t>Kudlick</w:t>
      </w:r>
      <w:proofErr w:type="spellEnd"/>
      <w:r w:rsidRPr="00AB7CEA">
        <w:rPr>
          <w:szCs w:val="32"/>
        </w:rPr>
        <w:t xml:space="preserve"> and trans. Zina Weygand (New York: NYU Press, 2001).</w:t>
      </w:r>
    </w:p>
    <w:p w14:paraId="10152D82" w14:textId="77777777" w:rsidR="0087065F" w:rsidRPr="00AB7CEA" w:rsidRDefault="0087065F" w:rsidP="0087065F">
      <w:pPr>
        <w:rPr>
          <w:szCs w:val="32"/>
        </w:rPr>
      </w:pPr>
    </w:p>
    <w:p w14:paraId="177F8588" w14:textId="77777777" w:rsidR="0087065F" w:rsidRPr="00AB7CEA" w:rsidRDefault="0087065F" w:rsidP="0087065F">
      <w:pPr>
        <w:rPr>
          <w:szCs w:val="32"/>
        </w:rPr>
      </w:pPr>
      <w:r w:rsidRPr="00AB7CEA">
        <w:rPr>
          <w:szCs w:val="32"/>
        </w:rPr>
        <w:lastRenderedPageBreak/>
        <w:t>Tom Mayes, “The 25</w:t>
      </w:r>
      <w:r w:rsidRPr="00AB7CEA">
        <w:rPr>
          <w:szCs w:val="32"/>
          <w:vertAlign w:val="superscript"/>
        </w:rPr>
        <w:t>th</w:t>
      </w:r>
      <w:r w:rsidRPr="00AB7CEA">
        <w:rPr>
          <w:szCs w:val="32"/>
        </w:rPr>
        <w:t> Anniversary of the Americans with Disabilities Act,” National Trust for Historic Preservation, Preservation Leadership Forum</w:t>
      </w:r>
      <w:r w:rsidRPr="00AB7CEA">
        <w:rPr>
          <w:i/>
          <w:iCs/>
          <w:szCs w:val="32"/>
        </w:rPr>
        <w:t>, </w:t>
      </w:r>
      <w:r w:rsidRPr="00AB7CEA">
        <w:rPr>
          <w:szCs w:val="32"/>
        </w:rPr>
        <w:t>December 2, 2015, </w:t>
      </w:r>
      <w:hyperlink r:id="rId21" w:history="1">
        <w:r w:rsidRPr="00AB7CEA">
          <w:rPr>
            <w:rStyle w:val="Hyperlink"/>
            <w:szCs w:val="32"/>
          </w:rPr>
          <w:t>https://forum.savingplaces.org/blogs/forum-online/2015/12/02/the-25th-anniversary-of-the-americans-with-disabilities-act</w:t>
        </w:r>
      </w:hyperlink>
      <w:r w:rsidRPr="00AB7CEA">
        <w:rPr>
          <w:szCs w:val="32"/>
        </w:rPr>
        <w:t>. </w:t>
      </w:r>
    </w:p>
    <w:p w14:paraId="123279D1" w14:textId="77777777" w:rsidR="0087065F" w:rsidRPr="00AB7CEA" w:rsidRDefault="0087065F" w:rsidP="0087065F">
      <w:pPr>
        <w:rPr>
          <w:szCs w:val="32"/>
        </w:rPr>
      </w:pPr>
    </w:p>
    <w:p w14:paraId="3577FE60" w14:textId="77777777" w:rsidR="0087065F" w:rsidRPr="00AB7CEA" w:rsidRDefault="0087065F" w:rsidP="0087065F">
      <w:pPr>
        <w:rPr>
          <w:szCs w:val="32"/>
        </w:rPr>
      </w:pPr>
      <w:r w:rsidRPr="00AB7CEA">
        <w:rPr>
          <w:szCs w:val="32"/>
        </w:rPr>
        <w:t xml:space="preserve">Jessica </w:t>
      </w:r>
      <w:proofErr w:type="spellStart"/>
      <w:r w:rsidRPr="00AB7CEA">
        <w:rPr>
          <w:szCs w:val="32"/>
        </w:rPr>
        <w:t>Martucci</w:t>
      </w:r>
      <w:proofErr w:type="spellEnd"/>
      <w:r w:rsidRPr="00AB7CEA">
        <w:rPr>
          <w:szCs w:val="32"/>
        </w:rPr>
        <w:t xml:space="preserve"> and Nicole </w:t>
      </w:r>
      <w:proofErr w:type="spellStart"/>
      <w:r w:rsidRPr="00AB7CEA">
        <w:rPr>
          <w:szCs w:val="32"/>
        </w:rPr>
        <w:t>Belolan</w:t>
      </w:r>
      <w:proofErr w:type="spellEnd"/>
      <w:r w:rsidRPr="00AB7CEA">
        <w:rPr>
          <w:szCs w:val="32"/>
        </w:rPr>
        <w:t xml:space="preserve">, “Science and Disability History,” </w:t>
      </w:r>
      <w:proofErr w:type="spellStart"/>
      <w:r>
        <w:rPr>
          <w:i/>
          <w:iCs/>
          <w:szCs w:val="32"/>
        </w:rPr>
        <w:t>History@</w:t>
      </w:r>
      <w:r w:rsidRPr="0047589C">
        <w:rPr>
          <w:i/>
          <w:iCs/>
          <w:szCs w:val="32"/>
        </w:rPr>
        <w:t>Work</w:t>
      </w:r>
      <w:proofErr w:type="spellEnd"/>
      <w:r>
        <w:rPr>
          <w:szCs w:val="32"/>
        </w:rPr>
        <w:t xml:space="preserve">, </w:t>
      </w:r>
      <w:r w:rsidRPr="0047589C">
        <w:rPr>
          <w:szCs w:val="32"/>
        </w:rPr>
        <w:t>Parts</w:t>
      </w:r>
      <w:r w:rsidRPr="00AB7CEA">
        <w:rPr>
          <w:szCs w:val="32"/>
        </w:rPr>
        <w:t xml:space="preserve"> 1-2, September 5 and 12, 2019, </w:t>
      </w:r>
      <w:hyperlink r:id="rId22" w:history="1">
        <w:r w:rsidRPr="00AB7CEA">
          <w:rPr>
            <w:rStyle w:val="Hyperlink"/>
            <w:szCs w:val="32"/>
          </w:rPr>
          <w:t>https://ncph.org/history-at-work/science-and-disability-part-1/</w:t>
        </w:r>
      </w:hyperlink>
      <w:r w:rsidRPr="00AB7CEA">
        <w:rPr>
          <w:szCs w:val="32"/>
        </w:rPr>
        <w:t xml:space="preserve"> and </w:t>
      </w:r>
      <w:hyperlink r:id="rId23" w:history="1">
        <w:r w:rsidRPr="00AB7CEA">
          <w:rPr>
            <w:rStyle w:val="Hyperlink"/>
            <w:szCs w:val="32"/>
          </w:rPr>
          <w:t>https://ncph.org/history-at-work/science-and-disability-qa-part-2/</w:t>
        </w:r>
      </w:hyperlink>
      <w:r w:rsidRPr="00AB7CEA">
        <w:rPr>
          <w:szCs w:val="32"/>
        </w:rPr>
        <w:t xml:space="preserve">. </w:t>
      </w:r>
    </w:p>
    <w:p w14:paraId="57666C3C" w14:textId="77777777" w:rsidR="0087065F" w:rsidRPr="00AB7CEA" w:rsidRDefault="0087065F" w:rsidP="0087065F">
      <w:pPr>
        <w:rPr>
          <w:szCs w:val="32"/>
        </w:rPr>
      </w:pPr>
    </w:p>
    <w:p w14:paraId="0F531EF4" w14:textId="77777777" w:rsidR="0087065F" w:rsidRPr="00AB7CEA" w:rsidRDefault="0087065F" w:rsidP="0087065F">
      <w:pPr>
        <w:rPr>
          <w:szCs w:val="32"/>
        </w:rPr>
      </w:pPr>
      <w:r w:rsidRPr="00AB7CEA">
        <w:rPr>
          <w:szCs w:val="32"/>
        </w:rPr>
        <w:t xml:space="preserve">National Center on Disability and Journalism, “Disability Language Style Guide,” Revised 2018, </w:t>
      </w:r>
      <w:hyperlink r:id="rId24" w:history="1">
        <w:r w:rsidRPr="00AB7CEA">
          <w:rPr>
            <w:rStyle w:val="Hyperlink"/>
            <w:szCs w:val="32"/>
          </w:rPr>
          <w:t>https://ncdj.org/style-guide/</w:t>
        </w:r>
      </w:hyperlink>
      <w:r w:rsidRPr="00AB7CEA">
        <w:rPr>
          <w:szCs w:val="32"/>
        </w:rPr>
        <w:t xml:space="preserve">. </w:t>
      </w:r>
      <w:r w:rsidRPr="00AB7CEA">
        <w:rPr>
          <w:szCs w:val="32"/>
        </w:rPr>
        <w:br/>
      </w:r>
    </w:p>
    <w:p w14:paraId="02D7325D" w14:textId="77777777" w:rsidR="0087065F" w:rsidRPr="00AB7CEA" w:rsidRDefault="0087065F" w:rsidP="0087065F">
      <w:pPr>
        <w:rPr>
          <w:szCs w:val="32"/>
        </w:rPr>
      </w:pPr>
      <w:r w:rsidRPr="00AB7CEA">
        <w:rPr>
          <w:szCs w:val="32"/>
        </w:rPr>
        <w:t xml:space="preserve">National Museum of American History (Smithsonian), </w:t>
      </w:r>
      <w:proofErr w:type="spellStart"/>
      <w:r w:rsidRPr="00AB7CEA">
        <w:rPr>
          <w:i/>
          <w:iCs/>
          <w:szCs w:val="32"/>
        </w:rPr>
        <w:t>EveryBody</w:t>
      </w:r>
      <w:proofErr w:type="spellEnd"/>
      <w:r w:rsidRPr="00AB7CEA">
        <w:rPr>
          <w:i/>
          <w:iCs/>
          <w:szCs w:val="32"/>
        </w:rPr>
        <w:t>: An Artifact History of Disability in America</w:t>
      </w:r>
      <w:r w:rsidRPr="00AB7CEA">
        <w:rPr>
          <w:szCs w:val="32"/>
        </w:rPr>
        <w:t xml:space="preserve">, Accessed November 2019, </w:t>
      </w:r>
      <w:hyperlink r:id="rId25" w:history="1">
        <w:r w:rsidRPr="00AB7CEA">
          <w:rPr>
            <w:rStyle w:val="Hyperlink"/>
            <w:szCs w:val="32"/>
          </w:rPr>
          <w:t>https://everybody.si.edu</w:t>
        </w:r>
      </w:hyperlink>
      <w:r w:rsidRPr="00AB7CEA">
        <w:rPr>
          <w:szCs w:val="32"/>
        </w:rPr>
        <w:t xml:space="preserve">. </w:t>
      </w:r>
    </w:p>
    <w:p w14:paraId="14B3C459" w14:textId="77777777" w:rsidR="0087065F" w:rsidRPr="00AB7CEA" w:rsidRDefault="0087065F" w:rsidP="0087065F">
      <w:pPr>
        <w:rPr>
          <w:szCs w:val="32"/>
        </w:rPr>
      </w:pPr>
    </w:p>
    <w:p w14:paraId="4F804467" w14:textId="77777777" w:rsidR="0087065F" w:rsidRPr="00AB7CEA" w:rsidRDefault="0087065F" w:rsidP="0087065F">
      <w:pPr>
        <w:rPr>
          <w:szCs w:val="32"/>
        </w:rPr>
      </w:pPr>
      <w:r w:rsidRPr="00AB7CEA">
        <w:rPr>
          <w:szCs w:val="32"/>
        </w:rPr>
        <w:t xml:space="preserve">Kim E. Nielsen, </w:t>
      </w:r>
      <w:r w:rsidRPr="00AB7CEA">
        <w:rPr>
          <w:i/>
          <w:iCs/>
          <w:szCs w:val="32"/>
        </w:rPr>
        <w:t>A Disability History of the United States</w:t>
      </w:r>
      <w:r w:rsidRPr="00AB7CEA">
        <w:rPr>
          <w:szCs w:val="32"/>
        </w:rPr>
        <w:t xml:space="preserve"> (Boston: Beacon Press, 2012).</w:t>
      </w:r>
    </w:p>
    <w:p w14:paraId="06CD0B7F" w14:textId="77777777" w:rsidR="0087065F" w:rsidRPr="00AB7CEA" w:rsidRDefault="0087065F" w:rsidP="0087065F">
      <w:pPr>
        <w:rPr>
          <w:szCs w:val="32"/>
        </w:rPr>
      </w:pPr>
    </w:p>
    <w:p w14:paraId="033EC615" w14:textId="77777777" w:rsidR="0087065F" w:rsidRPr="00AB7CEA" w:rsidRDefault="0087065F" w:rsidP="0087065F">
      <w:pPr>
        <w:rPr>
          <w:szCs w:val="32"/>
        </w:rPr>
      </w:pPr>
      <w:r w:rsidRPr="00AB7CEA">
        <w:rPr>
          <w:szCs w:val="32"/>
        </w:rPr>
        <w:t xml:space="preserve">Markus </w:t>
      </w:r>
      <w:proofErr w:type="spellStart"/>
      <w:r w:rsidRPr="00AB7CEA">
        <w:rPr>
          <w:szCs w:val="32"/>
        </w:rPr>
        <w:t>Rediker</w:t>
      </w:r>
      <w:proofErr w:type="spellEnd"/>
      <w:r w:rsidRPr="00AB7CEA">
        <w:rPr>
          <w:szCs w:val="32"/>
        </w:rPr>
        <w:t xml:space="preserve">, </w:t>
      </w:r>
      <w:r w:rsidRPr="00AB7CEA">
        <w:rPr>
          <w:i/>
          <w:iCs/>
          <w:szCs w:val="32"/>
        </w:rPr>
        <w:t>The Fearless Benjamin Lay: The Quaker Dwarf Who Became the First Revolutionary Abolitionist</w:t>
      </w:r>
      <w:r w:rsidRPr="00AB7CEA">
        <w:rPr>
          <w:szCs w:val="32"/>
        </w:rPr>
        <w:t xml:space="preserve"> (Boston: Beacon Press, 2017).</w:t>
      </w:r>
    </w:p>
    <w:p w14:paraId="1A41B6EC" w14:textId="77777777" w:rsidR="0087065F" w:rsidRDefault="0087065F" w:rsidP="0087065F">
      <w:pPr>
        <w:rPr>
          <w:szCs w:val="32"/>
        </w:rPr>
      </w:pPr>
    </w:p>
    <w:p w14:paraId="6613446A" w14:textId="77777777" w:rsidR="0087065F" w:rsidRPr="00AB7CEA" w:rsidRDefault="0087065F" w:rsidP="0087065F">
      <w:pPr>
        <w:rPr>
          <w:szCs w:val="32"/>
        </w:rPr>
      </w:pPr>
      <w:proofErr w:type="spellStart"/>
      <w:r w:rsidRPr="00AB7CEA">
        <w:rPr>
          <w:szCs w:val="32"/>
        </w:rPr>
        <w:t>FranklinD</w:t>
      </w:r>
      <w:proofErr w:type="spellEnd"/>
      <w:r w:rsidRPr="00AB7CEA">
        <w:rPr>
          <w:szCs w:val="32"/>
        </w:rPr>
        <w:t xml:space="preserve">. </w:t>
      </w:r>
      <w:proofErr w:type="spellStart"/>
      <w:r w:rsidRPr="00AB7CEA">
        <w:rPr>
          <w:szCs w:val="32"/>
        </w:rPr>
        <w:t>Vagnone</w:t>
      </w:r>
      <w:proofErr w:type="spellEnd"/>
      <w:r w:rsidRPr="00AB7CEA">
        <w:rPr>
          <w:szCs w:val="32"/>
        </w:rPr>
        <w:t xml:space="preserve"> and </w:t>
      </w:r>
      <w:proofErr w:type="spellStart"/>
      <w:r w:rsidRPr="00AB7CEA">
        <w:rPr>
          <w:szCs w:val="32"/>
        </w:rPr>
        <w:t>Deborash</w:t>
      </w:r>
      <w:proofErr w:type="spellEnd"/>
      <w:r w:rsidRPr="00AB7CEA">
        <w:rPr>
          <w:szCs w:val="32"/>
        </w:rPr>
        <w:t xml:space="preserve"> E. Ryan, “Experience Markings,” in </w:t>
      </w:r>
      <w:r w:rsidRPr="00AB7CEA">
        <w:rPr>
          <w:i/>
          <w:szCs w:val="32"/>
        </w:rPr>
        <w:t>Anarchist Guide to Historic House Museums</w:t>
      </w:r>
      <w:r w:rsidRPr="00AB7CEA">
        <w:rPr>
          <w:szCs w:val="32"/>
        </w:rPr>
        <w:t xml:space="preserve"> (Walnut Creek, CA: </w:t>
      </w:r>
      <w:proofErr w:type="spellStart"/>
      <w:r w:rsidRPr="00AB7CEA">
        <w:rPr>
          <w:szCs w:val="32"/>
        </w:rPr>
        <w:t>Leftcoast</w:t>
      </w:r>
      <w:proofErr w:type="spellEnd"/>
      <w:r w:rsidRPr="00AB7CEA">
        <w:rPr>
          <w:szCs w:val="32"/>
        </w:rPr>
        <w:t xml:space="preserve"> Press, 2016): 101-128.</w:t>
      </w:r>
    </w:p>
    <w:p w14:paraId="0C348EB2" w14:textId="77777777" w:rsidR="0087065F" w:rsidRPr="00AB7CEA" w:rsidRDefault="0087065F" w:rsidP="0087065F">
      <w:pPr>
        <w:rPr>
          <w:szCs w:val="32"/>
        </w:rPr>
      </w:pPr>
    </w:p>
    <w:p w14:paraId="33D988D8" w14:textId="78240726" w:rsidR="00E2766B" w:rsidRDefault="0087065F">
      <w:pPr>
        <w:rPr>
          <w:szCs w:val="32"/>
        </w:rPr>
      </w:pPr>
      <w:r w:rsidRPr="00AB7CEA">
        <w:rPr>
          <w:szCs w:val="32"/>
        </w:rPr>
        <w:t xml:space="preserve">Bess Williamson, </w:t>
      </w:r>
      <w:r w:rsidRPr="00AB7CEA">
        <w:rPr>
          <w:i/>
          <w:iCs/>
          <w:szCs w:val="32"/>
        </w:rPr>
        <w:t>Accessible America: A History of Disability and Design</w:t>
      </w:r>
      <w:r w:rsidRPr="00AB7CEA">
        <w:rPr>
          <w:szCs w:val="32"/>
        </w:rPr>
        <w:t xml:space="preserve"> (New York: NYU Press, 2019).</w:t>
      </w:r>
    </w:p>
    <w:p w14:paraId="68BE648B" w14:textId="457395AA" w:rsidR="0087065F" w:rsidRDefault="0087065F" w:rsidP="00D55E77">
      <w:pPr>
        <w:tabs>
          <w:tab w:val="center" w:pos="4680"/>
        </w:tabs>
        <w:rPr>
          <w:rFonts w:eastAsiaTheme="majorEastAsia" w:cstheme="majorBidi"/>
          <w:color w:val="000000" w:themeColor="text1"/>
          <w:szCs w:val="32"/>
        </w:rPr>
      </w:pPr>
      <w:bookmarkStart w:id="0" w:name="_GoBack"/>
      <w:bookmarkEnd w:id="0"/>
    </w:p>
    <w:p w14:paraId="23B93F99" w14:textId="13439BC0" w:rsidR="00067AF2" w:rsidRPr="003E5DA5" w:rsidRDefault="00067AF2" w:rsidP="003E5DA5">
      <w:pPr>
        <w:rPr>
          <w:rFonts w:eastAsiaTheme="majorEastAsia" w:cstheme="majorBidi"/>
          <w:color w:val="000000" w:themeColor="text1"/>
          <w:szCs w:val="32"/>
        </w:rPr>
      </w:pPr>
    </w:p>
    <w:sectPr w:rsidR="00067AF2" w:rsidRPr="003E5DA5" w:rsidSect="00957F1E">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14E0" w14:textId="77777777" w:rsidR="00391DE8" w:rsidRDefault="00391DE8">
      <w:r>
        <w:separator/>
      </w:r>
    </w:p>
  </w:endnote>
  <w:endnote w:type="continuationSeparator" w:id="0">
    <w:p w14:paraId="6162B43D" w14:textId="77777777" w:rsidR="00391DE8" w:rsidRDefault="0039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879176"/>
      <w:docPartObj>
        <w:docPartGallery w:val="Page Numbers (Bottom of Page)"/>
        <w:docPartUnique/>
      </w:docPartObj>
    </w:sdtPr>
    <w:sdtEndPr>
      <w:rPr>
        <w:rStyle w:val="PageNumber"/>
      </w:rPr>
    </w:sdtEndPr>
    <w:sdtContent>
      <w:p w14:paraId="56E1116F" w14:textId="77777777" w:rsidR="00252364" w:rsidRDefault="00252364" w:rsidP="00957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66A8F1" w14:textId="77777777" w:rsidR="00252364" w:rsidRDefault="00252364" w:rsidP="00957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173865"/>
      <w:docPartObj>
        <w:docPartGallery w:val="Page Numbers (Bottom of Page)"/>
        <w:docPartUnique/>
      </w:docPartObj>
    </w:sdtPr>
    <w:sdtEndPr>
      <w:rPr>
        <w:rStyle w:val="PageNumber"/>
      </w:rPr>
    </w:sdtEndPr>
    <w:sdtContent>
      <w:p w14:paraId="19D6232E" w14:textId="77777777" w:rsidR="00252364" w:rsidRDefault="00252364" w:rsidP="00957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30C7C">
          <w:rPr>
            <w:rStyle w:val="PageNumber"/>
            <w:noProof/>
          </w:rPr>
          <w:t>8</w:t>
        </w:r>
        <w:r>
          <w:rPr>
            <w:rStyle w:val="PageNumber"/>
          </w:rPr>
          <w:fldChar w:fldCharType="end"/>
        </w:r>
      </w:p>
    </w:sdtContent>
  </w:sdt>
  <w:p w14:paraId="471068D0" w14:textId="3DCFAF0C" w:rsidR="00252364" w:rsidRDefault="00CC7D20" w:rsidP="00CC7D20">
    <w:pPr>
      <w:pStyle w:val="Header"/>
    </w:pPr>
    <w:r>
      <w:t>ACCESSIBILITY LAB, 2/16/2020, NICOLE BELOLAN, NICOLE.BELOLAN@RUTGERS.EDU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7B3A" w14:textId="77777777" w:rsidR="00391DE8" w:rsidRDefault="00391DE8">
      <w:r>
        <w:separator/>
      </w:r>
    </w:p>
  </w:footnote>
  <w:footnote w:type="continuationSeparator" w:id="0">
    <w:p w14:paraId="3E953A50" w14:textId="77777777" w:rsidR="00391DE8" w:rsidRDefault="00391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C10"/>
    <w:multiLevelType w:val="hybridMultilevel"/>
    <w:tmpl w:val="274E2CE6"/>
    <w:lvl w:ilvl="0" w:tplc="BC0CBD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D3A3D"/>
    <w:multiLevelType w:val="hybridMultilevel"/>
    <w:tmpl w:val="DA56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3124E"/>
    <w:multiLevelType w:val="hybridMultilevel"/>
    <w:tmpl w:val="BD74BF3E"/>
    <w:lvl w:ilvl="0" w:tplc="50D678B8">
      <w:start w:val="1"/>
      <w:numFmt w:val="bullet"/>
      <w:lvlText w:val="•"/>
      <w:lvlJc w:val="left"/>
      <w:pPr>
        <w:tabs>
          <w:tab w:val="num" w:pos="720"/>
        </w:tabs>
        <w:ind w:left="720" w:hanging="360"/>
      </w:pPr>
      <w:rPr>
        <w:rFonts w:ascii="Arial" w:hAnsi="Arial" w:hint="default"/>
      </w:rPr>
    </w:lvl>
    <w:lvl w:ilvl="1" w:tplc="CF02045C" w:tentative="1">
      <w:start w:val="1"/>
      <w:numFmt w:val="bullet"/>
      <w:lvlText w:val="•"/>
      <w:lvlJc w:val="left"/>
      <w:pPr>
        <w:tabs>
          <w:tab w:val="num" w:pos="1440"/>
        </w:tabs>
        <w:ind w:left="1440" w:hanging="360"/>
      </w:pPr>
      <w:rPr>
        <w:rFonts w:ascii="Arial" w:hAnsi="Arial" w:hint="default"/>
      </w:rPr>
    </w:lvl>
    <w:lvl w:ilvl="2" w:tplc="75628C60" w:tentative="1">
      <w:start w:val="1"/>
      <w:numFmt w:val="bullet"/>
      <w:lvlText w:val="•"/>
      <w:lvlJc w:val="left"/>
      <w:pPr>
        <w:tabs>
          <w:tab w:val="num" w:pos="2160"/>
        </w:tabs>
        <w:ind w:left="2160" w:hanging="360"/>
      </w:pPr>
      <w:rPr>
        <w:rFonts w:ascii="Arial" w:hAnsi="Arial" w:hint="default"/>
      </w:rPr>
    </w:lvl>
    <w:lvl w:ilvl="3" w:tplc="ACDCFC30" w:tentative="1">
      <w:start w:val="1"/>
      <w:numFmt w:val="bullet"/>
      <w:lvlText w:val="•"/>
      <w:lvlJc w:val="left"/>
      <w:pPr>
        <w:tabs>
          <w:tab w:val="num" w:pos="2880"/>
        </w:tabs>
        <w:ind w:left="2880" w:hanging="360"/>
      </w:pPr>
      <w:rPr>
        <w:rFonts w:ascii="Arial" w:hAnsi="Arial" w:hint="default"/>
      </w:rPr>
    </w:lvl>
    <w:lvl w:ilvl="4" w:tplc="81122FFC" w:tentative="1">
      <w:start w:val="1"/>
      <w:numFmt w:val="bullet"/>
      <w:lvlText w:val="•"/>
      <w:lvlJc w:val="left"/>
      <w:pPr>
        <w:tabs>
          <w:tab w:val="num" w:pos="3600"/>
        </w:tabs>
        <w:ind w:left="3600" w:hanging="360"/>
      </w:pPr>
      <w:rPr>
        <w:rFonts w:ascii="Arial" w:hAnsi="Arial" w:hint="default"/>
      </w:rPr>
    </w:lvl>
    <w:lvl w:ilvl="5" w:tplc="56A2F0AA" w:tentative="1">
      <w:start w:val="1"/>
      <w:numFmt w:val="bullet"/>
      <w:lvlText w:val="•"/>
      <w:lvlJc w:val="left"/>
      <w:pPr>
        <w:tabs>
          <w:tab w:val="num" w:pos="4320"/>
        </w:tabs>
        <w:ind w:left="4320" w:hanging="360"/>
      </w:pPr>
      <w:rPr>
        <w:rFonts w:ascii="Arial" w:hAnsi="Arial" w:hint="default"/>
      </w:rPr>
    </w:lvl>
    <w:lvl w:ilvl="6" w:tplc="6E1473EA" w:tentative="1">
      <w:start w:val="1"/>
      <w:numFmt w:val="bullet"/>
      <w:lvlText w:val="•"/>
      <w:lvlJc w:val="left"/>
      <w:pPr>
        <w:tabs>
          <w:tab w:val="num" w:pos="5040"/>
        </w:tabs>
        <w:ind w:left="5040" w:hanging="360"/>
      </w:pPr>
      <w:rPr>
        <w:rFonts w:ascii="Arial" w:hAnsi="Arial" w:hint="default"/>
      </w:rPr>
    </w:lvl>
    <w:lvl w:ilvl="7" w:tplc="74AECA5C" w:tentative="1">
      <w:start w:val="1"/>
      <w:numFmt w:val="bullet"/>
      <w:lvlText w:val="•"/>
      <w:lvlJc w:val="left"/>
      <w:pPr>
        <w:tabs>
          <w:tab w:val="num" w:pos="5760"/>
        </w:tabs>
        <w:ind w:left="5760" w:hanging="360"/>
      </w:pPr>
      <w:rPr>
        <w:rFonts w:ascii="Arial" w:hAnsi="Arial" w:hint="default"/>
      </w:rPr>
    </w:lvl>
    <w:lvl w:ilvl="8" w:tplc="B23C4C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7116C2"/>
    <w:multiLevelType w:val="hybridMultilevel"/>
    <w:tmpl w:val="821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FA"/>
    <w:rsid w:val="0003403F"/>
    <w:rsid w:val="00042F47"/>
    <w:rsid w:val="00067AF2"/>
    <w:rsid w:val="00071A0F"/>
    <w:rsid w:val="00071E96"/>
    <w:rsid w:val="00075A0A"/>
    <w:rsid w:val="000B013D"/>
    <w:rsid w:val="000B15DC"/>
    <w:rsid w:val="000C0D6B"/>
    <w:rsid w:val="00103074"/>
    <w:rsid w:val="00113845"/>
    <w:rsid w:val="001355D8"/>
    <w:rsid w:val="00180261"/>
    <w:rsid w:val="001824C5"/>
    <w:rsid w:val="0018252A"/>
    <w:rsid w:val="00183854"/>
    <w:rsid w:val="001B65B2"/>
    <w:rsid w:val="001E78BC"/>
    <w:rsid w:val="001F2379"/>
    <w:rsid w:val="002044B5"/>
    <w:rsid w:val="00205B6C"/>
    <w:rsid w:val="002140C9"/>
    <w:rsid w:val="0025079F"/>
    <w:rsid w:val="00252364"/>
    <w:rsid w:val="00277BE0"/>
    <w:rsid w:val="00287AB3"/>
    <w:rsid w:val="002D1EF1"/>
    <w:rsid w:val="002E742B"/>
    <w:rsid w:val="002F76EA"/>
    <w:rsid w:val="0030343F"/>
    <w:rsid w:val="00304C50"/>
    <w:rsid w:val="00306BA5"/>
    <w:rsid w:val="00316B9B"/>
    <w:rsid w:val="003318BC"/>
    <w:rsid w:val="003647B2"/>
    <w:rsid w:val="00372BF0"/>
    <w:rsid w:val="00374A5C"/>
    <w:rsid w:val="00391DE8"/>
    <w:rsid w:val="003C4B78"/>
    <w:rsid w:val="003E5DA5"/>
    <w:rsid w:val="003F5F2C"/>
    <w:rsid w:val="00403D7B"/>
    <w:rsid w:val="00406B84"/>
    <w:rsid w:val="0043739C"/>
    <w:rsid w:val="0044680B"/>
    <w:rsid w:val="004550EB"/>
    <w:rsid w:val="004D3E33"/>
    <w:rsid w:val="005120F3"/>
    <w:rsid w:val="00513CA7"/>
    <w:rsid w:val="005312F3"/>
    <w:rsid w:val="005A06FA"/>
    <w:rsid w:val="005B1669"/>
    <w:rsid w:val="00632524"/>
    <w:rsid w:val="006714AD"/>
    <w:rsid w:val="0069070C"/>
    <w:rsid w:val="00696167"/>
    <w:rsid w:val="00697326"/>
    <w:rsid w:val="006B1829"/>
    <w:rsid w:val="006E377E"/>
    <w:rsid w:val="00704C9B"/>
    <w:rsid w:val="00785DA3"/>
    <w:rsid w:val="007B4B26"/>
    <w:rsid w:val="008124AA"/>
    <w:rsid w:val="00852F18"/>
    <w:rsid w:val="0087065F"/>
    <w:rsid w:val="0089418B"/>
    <w:rsid w:val="009170FD"/>
    <w:rsid w:val="00935E77"/>
    <w:rsid w:val="00957F1E"/>
    <w:rsid w:val="009E76D9"/>
    <w:rsid w:val="00A36CE2"/>
    <w:rsid w:val="00A62F44"/>
    <w:rsid w:val="00A647D5"/>
    <w:rsid w:val="00AC08D7"/>
    <w:rsid w:val="00AE6A6A"/>
    <w:rsid w:val="00AF4A8D"/>
    <w:rsid w:val="00AF5523"/>
    <w:rsid w:val="00B037EA"/>
    <w:rsid w:val="00B11369"/>
    <w:rsid w:val="00B15C7D"/>
    <w:rsid w:val="00B404D3"/>
    <w:rsid w:val="00B46E06"/>
    <w:rsid w:val="00B71260"/>
    <w:rsid w:val="00B93D30"/>
    <w:rsid w:val="00BE278E"/>
    <w:rsid w:val="00BE3B4E"/>
    <w:rsid w:val="00BF386D"/>
    <w:rsid w:val="00C30C7C"/>
    <w:rsid w:val="00C3283C"/>
    <w:rsid w:val="00C80AD7"/>
    <w:rsid w:val="00C95717"/>
    <w:rsid w:val="00CA1ACA"/>
    <w:rsid w:val="00CC7D20"/>
    <w:rsid w:val="00D17FC7"/>
    <w:rsid w:val="00D348F1"/>
    <w:rsid w:val="00D40E53"/>
    <w:rsid w:val="00D55E77"/>
    <w:rsid w:val="00D71393"/>
    <w:rsid w:val="00DC263A"/>
    <w:rsid w:val="00DC4315"/>
    <w:rsid w:val="00E010D5"/>
    <w:rsid w:val="00E2766B"/>
    <w:rsid w:val="00E549A1"/>
    <w:rsid w:val="00E56D39"/>
    <w:rsid w:val="00E75914"/>
    <w:rsid w:val="00EE231F"/>
    <w:rsid w:val="00EE355A"/>
    <w:rsid w:val="00EF6860"/>
    <w:rsid w:val="00F06301"/>
    <w:rsid w:val="00F242EB"/>
    <w:rsid w:val="00F3036E"/>
    <w:rsid w:val="00F84D66"/>
    <w:rsid w:val="00FB2A83"/>
    <w:rsid w:val="00FC6BE5"/>
    <w:rsid w:val="00FD1C4C"/>
    <w:rsid w:val="00FE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01C98"/>
  <w15:docId w15:val="{9BE16A07-D745-1C46-9B5E-BAD2A6EE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79F"/>
    <w:rPr>
      <w:rFonts w:ascii="Arial" w:hAnsi="Arial" w:cs="Arial"/>
      <w:sz w:val="32"/>
    </w:rPr>
  </w:style>
  <w:style w:type="paragraph" w:styleId="Heading1">
    <w:name w:val="heading 1"/>
    <w:basedOn w:val="Normal"/>
    <w:next w:val="Normal"/>
    <w:link w:val="Heading1Char"/>
    <w:uiPriority w:val="9"/>
    <w:qFormat/>
    <w:rsid w:val="00075A0A"/>
    <w:pPr>
      <w:keepNext/>
      <w:keepLines/>
      <w:spacing w:before="24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316B9B"/>
    <w:pPr>
      <w:keepNext/>
      <w:keepLines/>
      <w:spacing w:before="4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316B9B"/>
    <w:rPr>
      <w:rFonts w:ascii="Arial" w:eastAsiaTheme="majorEastAsia" w:hAnsi="Arial" w:cstheme="majorBidi"/>
      <w:color w:val="000000" w:themeColor="text1"/>
      <w:sz w:val="28"/>
      <w:szCs w:val="26"/>
    </w:rPr>
  </w:style>
  <w:style w:type="paragraph" w:styleId="Footer">
    <w:name w:val="footer"/>
    <w:basedOn w:val="Normal"/>
    <w:link w:val="FooterChar"/>
    <w:uiPriority w:val="99"/>
    <w:unhideWhenUsed/>
    <w:rsid w:val="00316B9B"/>
    <w:pPr>
      <w:tabs>
        <w:tab w:val="center" w:pos="4680"/>
        <w:tab w:val="right" w:pos="9360"/>
      </w:tabs>
    </w:pPr>
  </w:style>
  <w:style w:type="character" w:customStyle="1" w:styleId="FooterChar">
    <w:name w:val="Footer Char"/>
    <w:basedOn w:val="DefaultParagraphFont"/>
    <w:link w:val="Footer"/>
    <w:uiPriority w:val="99"/>
    <w:rsid w:val="00316B9B"/>
    <w:rPr>
      <w:rFonts w:ascii="Arial" w:hAnsi="Arial" w:cs="Arial"/>
    </w:rPr>
  </w:style>
  <w:style w:type="character" w:styleId="PageNumber">
    <w:name w:val="page number"/>
    <w:basedOn w:val="DefaultParagraphFont"/>
    <w:uiPriority w:val="99"/>
    <w:semiHidden/>
    <w:unhideWhenUsed/>
    <w:rsid w:val="00316B9B"/>
  </w:style>
  <w:style w:type="paragraph" w:styleId="Header">
    <w:name w:val="header"/>
    <w:basedOn w:val="Normal"/>
    <w:link w:val="HeaderChar"/>
    <w:uiPriority w:val="99"/>
    <w:unhideWhenUsed/>
    <w:rsid w:val="00E56D39"/>
    <w:pPr>
      <w:tabs>
        <w:tab w:val="center" w:pos="4680"/>
        <w:tab w:val="right" w:pos="9360"/>
      </w:tabs>
    </w:pPr>
  </w:style>
  <w:style w:type="character" w:customStyle="1" w:styleId="HeaderChar">
    <w:name w:val="Header Char"/>
    <w:basedOn w:val="DefaultParagraphFont"/>
    <w:link w:val="Header"/>
    <w:uiPriority w:val="99"/>
    <w:rsid w:val="00E56D39"/>
    <w:rPr>
      <w:rFonts w:ascii="Arial" w:hAnsi="Arial" w:cs="Arial"/>
    </w:rPr>
  </w:style>
  <w:style w:type="paragraph" w:styleId="ListParagraph">
    <w:name w:val="List Paragraph"/>
    <w:basedOn w:val="Normal"/>
    <w:uiPriority w:val="34"/>
    <w:qFormat/>
    <w:rsid w:val="008124AA"/>
    <w:pPr>
      <w:numPr>
        <w:numId w:val="3"/>
      </w:numPr>
      <w:spacing w:line="480" w:lineRule="auto"/>
      <w:contextualSpacing/>
    </w:pPr>
    <w:rPr>
      <w:szCs w:val="28"/>
    </w:rPr>
  </w:style>
  <w:style w:type="paragraph" w:styleId="FootnoteText">
    <w:name w:val="footnote text"/>
    <w:basedOn w:val="Normal"/>
    <w:link w:val="FootnoteTextChar"/>
    <w:unhideWhenUsed/>
    <w:rsid w:val="00BE278E"/>
    <w:rPr>
      <w:sz w:val="20"/>
      <w:szCs w:val="20"/>
    </w:rPr>
  </w:style>
  <w:style w:type="character" w:customStyle="1" w:styleId="FootnoteTextChar">
    <w:name w:val="Footnote Text Char"/>
    <w:basedOn w:val="DefaultParagraphFont"/>
    <w:link w:val="FootnoteText"/>
    <w:rsid w:val="00BE278E"/>
    <w:rPr>
      <w:rFonts w:ascii="Arial" w:hAnsi="Arial" w:cs="Arial"/>
      <w:sz w:val="20"/>
      <w:szCs w:val="20"/>
    </w:rPr>
  </w:style>
  <w:style w:type="character" w:styleId="FootnoteReference">
    <w:name w:val="footnote reference"/>
    <w:basedOn w:val="DefaultParagraphFont"/>
    <w:unhideWhenUsed/>
    <w:rsid w:val="00BE278E"/>
    <w:rPr>
      <w:vertAlign w:val="superscript"/>
    </w:rPr>
  </w:style>
  <w:style w:type="character" w:styleId="Hyperlink">
    <w:name w:val="Hyperlink"/>
    <w:basedOn w:val="DefaultParagraphFont"/>
    <w:uiPriority w:val="99"/>
    <w:unhideWhenUsed/>
    <w:rsid w:val="00BE278E"/>
    <w:rPr>
      <w:color w:val="0563C1" w:themeColor="hyperlink"/>
      <w:u w:val="single"/>
    </w:rPr>
  </w:style>
  <w:style w:type="character" w:customStyle="1" w:styleId="UnresolvedMention1">
    <w:name w:val="Unresolved Mention1"/>
    <w:basedOn w:val="DefaultParagraphFont"/>
    <w:uiPriority w:val="99"/>
    <w:semiHidden/>
    <w:unhideWhenUsed/>
    <w:rsid w:val="00BE278E"/>
    <w:rPr>
      <w:color w:val="605E5C"/>
      <w:shd w:val="clear" w:color="auto" w:fill="E1DFDD"/>
    </w:rPr>
  </w:style>
  <w:style w:type="character" w:styleId="CommentReference">
    <w:name w:val="annotation reference"/>
    <w:basedOn w:val="DefaultParagraphFont"/>
    <w:uiPriority w:val="99"/>
    <w:semiHidden/>
    <w:unhideWhenUsed/>
    <w:rsid w:val="00AC08D7"/>
    <w:rPr>
      <w:sz w:val="16"/>
      <w:szCs w:val="16"/>
    </w:rPr>
  </w:style>
  <w:style w:type="paragraph" w:styleId="CommentText">
    <w:name w:val="annotation text"/>
    <w:basedOn w:val="Normal"/>
    <w:link w:val="CommentTextChar"/>
    <w:uiPriority w:val="99"/>
    <w:semiHidden/>
    <w:unhideWhenUsed/>
    <w:rsid w:val="00AC08D7"/>
    <w:rPr>
      <w:sz w:val="20"/>
      <w:szCs w:val="20"/>
    </w:rPr>
  </w:style>
  <w:style w:type="character" w:customStyle="1" w:styleId="CommentTextChar">
    <w:name w:val="Comment Text Char"/>
    <w:basedOn w:val="DefaultParagraphFont"/>
    <w:link w:val="CommentText"/>
    <w:uiPriority w:val="99"/>
    <w:semiHidden/>
    <w:rsid w:val="00AC08D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08D7"/>
    <w:rPr>
      <w:b/>
      <w:bCs/>
    </w:rPr>
  </w:style>
  <w:style w:type="character" w:customStyle="1" w:styleId="CommentSubjectChar">
    <w:name w:val="Comment Subject Char"/>
    <w:basedOn w:val="CommentTextChar"/>
    <w:link w:val="CommentSubject"/>
    <w:uiPriority w:val="99"/>
    <w:semiHidden/>
    <w:rsid w:val="00AC08D7"/>
    <w:rPr>
      <w:rFonts w:ascii="Arial" w:hAnsi="Arial" w:cs="Arial"/>
      <w:b/>
      <w:bCs/>
      <w:sz w:val="20"/>
      <w:szCs w:val="20"/>
    </w:rPr>
  </w:style>
  <w:style w:type="paragraph" w:styleId="BalloonText">
    <w:name w:val="Balloon Text"/>
    <w:basedOn w:val="Normal"/>
    <w:link w:val="BalloonTextChar"/>
    <w:uiPriority w:val="99"/>
    <w:semiHidden/>
    <w:unhideWhenUsed/>
    <w:rsid w:val="00AC0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08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451">
      <w:bodyDiv w:val="1"/>
      <w:marLeft w:val="0"/>
      <w:marRight w:val="0"/>
      <w:marTop w:val="0"/>
      <w:marBottom w:val="0"/>
      <w:divBdr>
        <w:top w:val="none" w:sz="0" w:space="0" w:color="auto"/>
        <w:left w:val="none" w:sz="0" w:space="0" w:color="auto"/>
        <w:bottom w:val="none" w:sz="0" w:space="0" w:color="auto"/>
        <w:right w:val="none" w:sz="0" w:space="0" w:color="auto"/>
      </w:divBdr>
    </w:div>
    <w:div w:id="655186833">
      <w:bodyDiv w:val="1"/>
      <w:marLeft w:val="0"/>
      <w:marRight w:val="0"/>
      <w:marTop w:val="0"/>
      <w:marBottom w:val="0"/>
      <w:divBdr>
        <w:top w:val="none" w:sz="0" w:space="0" w:color="auto"/>
        <w:left w:val="none" w:sz="0" w:space="0" w:color="auto"/>
        <w:bottom w:val="none" w:sz="0" w:space="0" w:color="auto"/>
        <w:right w:val="none" w:sz="0" w:space="0" w:color="auto"/>
      </w:divBdr>
      <w:divsChild>
        <w:div w:id="1078868644">
          <w:marLeft w:val="360"/>
          <w:marRight w:val="0"/>
          <w:marTop w:val="200"/>
          <w:marBottom w:val="0"/>
          <w:divBdr>
            <w:top w:val="none" w:sz="0" w:space="0" w:color="auto"/>
            <w:left w:val="none" w:sz="0" w:space="0" w:color="auto"/>
            <w:bottom w:val="none" w:sz="0" w:space="0" w:color="auto"/>
            <w:right w:val="none" w:sz="0" w:space="0" w:color="auto"/>
          </w:divBdr>
        </w:div>
        <w:div w:id="1098210684">
          <w:marLeft w:val="360"/>
          <w:marRight w:val="0"/>
          <w:marTop w:val="200"/>
          <w:marBottom w:val="0"/>
          <w:divBdr>
            <w:top w:val="none" w:sz="0" w:space="0" w:color="auto"/>
            <w:left w:val="none" w:sz="0" w:space="0" w:color="auto"/>
            <w:bottom w:val="none" w:sz="0" w:space="0" w:color="auto"/>
            <w:right w:val="none" w:sz="0" w:space="0" w:color="auto"/>
          </w:divBdr>
        </w:div>
        <w:div w:id="1475101193">
          <w:marLeft w:val="360"/>
          <w:marRight w:val="0"/>
          <w:marTop w:val="200"/>
          <w:marBottom w:val="0"/>
          <w:divBdr>
            <w:top w:val="none" w:sz="0" w:space="0" w:color="auto"/>
            <w:left w:val="none" w:sz="0" w:space="0" w:color="auto"/>
            <w:bottom w:val="none" w:sz="0" w:space="0" w:color="auto"/>
            <w:right w:val="none" w:sz="0" w:space="0" w:color="auto"/>
          </w:divBdr>
        </w:div>
        <w:div w:id="1677804273">
          <w:marLeft w:val="360"/>
          <w:marRight w:val="0"/>
          <w:marTop w:val="200"/>
          <w:marBottom w:val="0"/>
          <w:divBdr>
            <w:top w:val="none" w:sz="0" w:space="0" w:color="auto"/>
            <w:left w:val="none" w:sz="0" w:space="0" w:color="auto"/>
            <w:bottom w:val="none" w:sz="0" w:space="0" w:color="auto"/>
            <w:right w:val="none" w:sz="0" w:space="0" w:color="auto"/>
          </w:divBdr>
        </w:div>
      </w:divsChild>
    </w:div>
    <w:div w:id="936981505">
      <w:bodyDiv w:val="1"/>
      <w:marLeft w:val="0"/>
      <w:marRight w:val="0"/>
      <w:marTop w:val="0"/>
      <w:marBottom w:val="0"/>
      <w:divBdr>
        <w:top w:val="none" w:sz="0" w:space="0" w:color="auto"/>
        <w:left w:val="none" w:sz="0" w:space="0" w:color="auto"/>
        <w:bottom w:val="none" w:sz="0" w:space="0" w:color="auto"/>
        <w:right w:val="none" w:sz="0" w:space="0" w:color="auto"/>
      </w:divBdr>
      <w:divsChild>
        <w:div w:id="1515223550">
          <w:marLeft w:val="-75"/>
          <w:marRight w:val="-75"/>
          <w:marTop w:val="0"/>
          <w:marBottom w:val="0"/>
          <w:divBdr>
            <w:top w:val="single" w:sz="2" w:space="0" w:color="000000"/>
            <w:left w:val="single" w:sz="2" w:space="0" w:color="000000"/>
            <w:bottom w:val="single" w:sz="2" w:space="8" w:color="000000"/>
            <w:right w:val="single" w:sz="2" w:space="0" w:color="000000"/>
          </w:divBdr>
          <w:divsChild>
            <w:div w:id="1042899727">
              <w:marLeft w:val="75"/>
              <w:marRight w:val="75"/>
              <w:marTop w:val="0"/>
              <w:marBottom w:val="0"/>
              <w:divBdr>
                <w:top w:val="single" w:sz="2" w:space="0" w:color="000000"/>
                <w:left w:val="single" w:sz="2" w:space="0" w:color="000000"/>
                <w:bottom w:val="single" w:sz="2" w:space="0" w:color="000000"/>
                <w:right w:val="single" w:sz="2" w:space="0" w:color="000000"/>
              </w:divBdr>
              <w:divsChild>
                <w:div w:id="1894078612">
                  <w:marLeft w:val="0"/>
                  <w:marRight w:val="0"/>
                  <w:marTop w:val="0"/>
                  <w:marBottom w:val="30"/>
                  <w:divBdr>
                    <w:top w:val="single" w:sz="2" w:space="0" w:color="000000"/>
                    <w:left w:val="single" w:sz="2" w:space="0" w:color="000000"/>
                    <w:bottom w:val="single" w:sz="2" w:space="0" w:color="000000"/>
                    <w:right w:val="single" w:sz="2" w:space="0" w:color="000000"/>
                  </w:divBdr>
                  <w:divsChild>
                    <w:div w:id="1197349919">
                      <w:marLeft w:val="0"/>
                      <w:marRight w:val="0"/>
                      <w:marTop w:val="0"/>
                      <w:marBottom w:val="0"/>
                      <w:divBdr>
                        <w:top w:val="single" w:sz="2" w:space="0" w:color="000000"/>
                        <w:left w:val="single" w:sz="2" w:space="0" w:color="000000"/>
                        <w:bottom w:val="single" w:sz="2" w:space="0" w:color="000000"/>
                        <w:right w:val="single" w:sz="2" w:space="0" w:color="000000"/>
                      </w:divBdr>
                      <w:divsChild>
                        <w:div w:id="164134629">
                          <w:marLeft w:val="0"/>
                          <w:marRight w:val="0"/>
                          <w:marTop w:val="0"/>
                          <w:marBottom w:val="0"/>
                          <w:divBdr>
                            <w:top w:val="single" w:sz="2" w:space="0" w:color="000000"/>
                            <w:left w:val="single" w:sz="2" w:space="0" w:color="000000"/>
                            <w:bottom w:val="single" w:sz="2" w:space="0" w:color="000000"/>
                            <w:right w:val="single" w:sz="2" w:space="0" w:color="000000"/>
                          </w:divBdr>
                          <w:divsChild>
                            <w:div w:id="860431323">
                              <w:marLeft w:val="0"/>
                              <w:marRight w:val="0"/>
                              <w:marTop w:val="0"/>
                              <w:marBottom w:val="0"/>
                              <w:divBdr>
                                <w:top w:val="single" w:sz="2" w:space="0" w:color="000000"/>
                                <w:left w:val="single" w:sz="2" w:space="0" w:color="000000"/>
                                <w:bottom w:val="single" w:sz="2" w:space="0" w:color="000000"/>
                                <w:right w:val="single" w:sz="2" w:space="0" w:color="000000"/>
                              </w:divBdr>
                              <w:divsChild>
                                <w:div w:id="12708959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967973751">
      <w:bodyDiv w:val="1"/>
      <w:marLeft w:val="0"/>
      <w:marRight w:val="0"/>
      <w:marTop w:val="0"/>
      <w:marBottom w:val="0"/>
      <w:divBdr>
        <w:top w:val="none" w:sz="0" w:space="0" w:color="auto"/>
        <w:left w:val="none" w:sz="0" w:space="0" w:color="auto"/>
        <w:bottom w:val="none" w:sz="0" w:space="0" w:color="auto"/>
        <w:right w:val="none" w:sz="0" w:space="0" w:color="auto"/>
      </w:divBdr>
    </w:div>
    <w:div w:id="1172181684">
      <w:bodyDiv w:val="1"/>
      <w:marLeft w:val="0"/>
      <w:marRight w:val="0"/>
      <w:marTop w:val="0"/>
      <w:marBottom w:val="0"/>
      <w:divBdr>
        <w:top w:val="none" w:sz="0" w:space="0" w:color="auto"/>
        <w:left w:val="none" w:sz="0" w:space="0" w:color="auto"/>
        <w:bottom w:val="none" w:sz="0" w:space="0" w:color="auto"/>
        <w:right w:val="none" w:sz="0" w:space="0" w:color="auto"/>
      </w:divBdr>
      <w:divsChild>
        <w:div w:id="2043938711">
          <w:marLeft w:val="-75"/>
          <w:marRight w:val="-75"/>
          <w:marTop w:val="0"/>
          <w:marBottom w:val="0"/>
          <w:divBdr>
            <w:top w:val="single" w:sz="2" w:space="0" w:color="000000"/>
            <w:left w:val="single" w:sz="2" w:space="0" w:color="000000"/>
            <w:bottom w:val="single" w:sz="2" w:space="8" w:color="000000"/>
            <w:right w:val="single" w:sz="2" w:space="0" w:color="000000"/>
          </w:divBdr>
          <w:divsChild>
            <w:div w:id="1761872416">
              <w:marLeft w:val="75"/>
              <w:marRight w:val="75"/>
              <w:marTop w:val="0"/>
              <w:marBottom w:val="0"/>
              <w:divBdr>
                <w:top w:val="single" w:sz="2" w:space="0" w:color="000000"/>
                <w:left w:val="single" w:sz="2" w:space="0" w:color="000000"/>
                <w:bottom w:val="single" w:sz="2" w:space="0" w:color="000000"/>
                <w:right w:val="single" w:sz="2" w:space="0" w:color="000000"/>
              </w:divBdr>
              <w:divsChild>
                <w:div w:id="1638954265">
                  <w:marLeft w:val="0"/>
                  <w:marRight w:val="0"/>
                  <w:marTop w:val="0"/>
                  <w:marBottom w:val="30"/>
                  <w:divBdr>
                    <w:top w:val="single" w:sz="2" w:space="0" w:color="000000"/>
                    <w:left w:val="single" w:sz="2" w:space="0" w:color="000000"/>
                    <w:bottom w:val="single" w:sz="2" w:space="0" w:color="000000"/>
                    <w:right w:val="single" w:sz="2" w:space="0" w:color="000000"/>
                  </w:divBdr>
                  <w:divsChild>
                    <w:div w:id="1452213594">
                      <w:marLeft w:val="0"/>
                      <w:marRight w:val="0"/>
                      <w:marTop w:val="0"/>
                      <w:marBottom w:val="0"/>
                      <w:divBdr>
                        <w:top w:val="single" w:sz="2" w:space="0" w:color="000000"/>
                        <w:left w:val="single" w:sz="2" w:space="0" w:color="000000"/>
                        <w:bottom w:val="single" w:sz="2" w:space="0" w:color="000000"/>
                        <w:right w:val="single" w:sz="2" w:space="0" w:color="000000"/>
                      </w:divBdr>
                      <w:divsChild>
                        <w:div w:id="894660541">
                          <w:marLeft w:val="0"/>
                          <w:marRight w:val="0"/>
                          <w:marTop w:val="0"/>
                          <w:marBottom w:val="0"/>
                          <w:divBdr>
                            <w:top w:val="single" w:sz="2" w:space="0" w:color="000000"/>
                            <w:left w:val="single" w:sz="2" w:space="0" w:color="000000"/>
                            <w:bottom w:val="single" w:sz="2" w:space="0" w:color="000000"/>
                            <w:right w:val="single" w:sz="2" w:space="0" w:color="000000"/>
                          </w:divBdr>
                          <w:divsChild>
                            <w:div w:id="465245660">
                              <w:marLeft w:val="0"/>
                              <w:marRight w:val="0"/>
                              <w:marTop w:val="0"/>
                              <w:marBottom w:val="0"/>
                              <w:divBdr>
                                <w:top w:val="single" w:sz="2" w:space="0" w:color="000000"/>
                                <w:left w:val="single" w:sz="2" w:space="0" w:color="000000"/>
                                <w:bottom w:val="single" w:sz="2" w:space="0" w:color="000000"/>
                                <w:right w:val="single" w:sz="2" w:space="0" w:color="000000"/>
                              </w:divBdr>
                              <w:divsChild>
                                <w:div w:id="1962031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ta.org" TargetMode="External"/><Relationship Id="rId13" Type="http://schemas.openxmlformats.org/officeDocument/2006/relationships/hyperlink" Target="https://doi.org/10.1353/nyh.2015.0012" TargetMode="External"/><Relationship Id="rId18" Type="http://schemas.openxmlformats.org/officeDocument/2006/relationships/hyperlink" Target="https://inclusivehistorian.com/accessi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rum.savingplaces.org/blogs/forum-online/2015/12/02/the-25th-anniversary-of-the-americans-with-disabilities-act" TargetMode="External"/><Relationship Id="rId7" Type="http://schemas.openxmlformats.org/officeDocument/2006/relationships/endnotes" Target="endnotes.xml"/><Relationship Id="rId12" Type="http://schemas.openxmlformats.org/officeDocument/2006/relationships/hyperlink" Target="https://ncph.org/phc/ncph-working-groups/making-public-history-accessible-2016-working-group/" TargetMode="External"/><Relationship Id="rId17" Type="http://schemas.openxmlformats.org/officeDocument/2006/relationships/hyperlink" Target="https://tph.ucpress.edu" TargetMode="External"/><Relationship Id="rId25" Type="http://schemas.openxmlformats.org/officeDocument/2006/relationships/hyperlink" Target="https://everybody.si.edu" TargetMode="External"/><Relationship Id="rId2" Type="http://schemas.openxmlformats.org/officeDocument/2006/relationships/numbering" Target="numbering.xml"/><Relationship Id="rId16" Type="http://schemas.openxmlformats.org/officeDocument/2006/relationships/hyperlink" Target="https://aaslh.org/getting-in-the-door/" TargetMode="External"/><Relationship Id="rId20" Type="http://schemas.openxmlformats.org/officeDocument/2006/relationships/hyperlink" Target="https://tph.ucpress.edu/content/41/3/13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ph.ucpress.edu/content/27/2" TargetMode="External"/><Relationship Id="rId24" Type="http://schemas.openxmlformats.org/officeDocument/2006/relationships/hyperlink" Target="https://ncdj.org/style-guide/" TargetMode="External"/><Relationship Id="rId5" Type="http://schemas.openxmlformats.org/officeDocument/2006/relationships/webSettings" Target="webSettings.xml"/><Relationship Id="rId15" Type="http://schemas.openxmlformats.org/officeDocument/2006/relationships/hyperlink" Target="http://dishist.org/?page_id=1104" TargetMode="External"/><Relationship Id="rId23" Type="http://schemas.openxmlformats.org/officeDocument/2006/relationships/hyperlink" Target="https://ncph.org/history-at-work/science-and-disability-qa-part-2/" TargetMode="External"/><Relationship Id="rId28" Type="http://schemas.openxmlformats.org/officeDocument/2006/relationships/fontTable" Target="fontTable.xml"/><Relationship Id="rId10" Type="http://schemas.openxmlformats.org/officeDocument/2006/relationships/hyperlink" Target="https://www.art-reach.org" TargetMode="External"/><Relationship Id="rId19" Type="http://schemas.openxmlformats.org/officeDocument/2006/relationships/hyperlink" Target="https://doi.org/10.1177%2F1470412914565965" TargetMode="External"/><Relationship Id="rId4" Type="http://schemas.openxmlformats.org/officeDocument/2006/relationships/settings" Target="settings.xml"/><Relationship Id="rId9" Type="http://schemas.openxmlformats.org/officeDocument/2006/relationships/hyperlink" Target="http://allofusdha.org" TargetMode="External"/><Relationship Id="rId14" Type="http://schemas.openxmlformats.org/officeDocument/2006/relationships/hyperlink" Target="https://hsp.org/publications/pennsylvania-legacies" TargetMode="External"/><Relationship Id="rId22" Type="http://schemas.openxmlformats.org/officeDocument/2006/relationships/hyperlink" Target="https://ncph.org/history-at-work/science-and-disability-part-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BE85-2B6D-0048-9192-F8DF8890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2</cp:revision>
  <cp:lastPrinted>2020-02-14T21:35:00Z</cp:lastPrinted>
  <dcterms:created xsi:type="dcterms:W3CDTF">2020-02-27T16:16:00Z</dcterms:created>
  <dcterms:modified xsi:type="dcterms:W3CDTF">2020-02-27T16:16:00Z</dcterms:modified>
</cp:coreProperties>
</file>